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DFD798">
      <w:pPr>
        <w:keepNext w:val="0"/>
        <w:keepLines w:val="0"/>
        <w:widowControl/>
        <w:suppressLineNumbers w:val="0"/>
        <w:spacing w:line="240" w:lineRule="auto"/>
        <w:jc w:val="center"/>
        <w:rPr>
          <w:rFonts w:hint="default" w:ascii="微软雅黑" w:hAnsi="微软雅黑" w:eastAsia="微软雅黑" w:cs="微软雅黑"/>
          <w:color w:val="030303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Times New Roman"/>
          <w:b/>
          <w:bCs/>
          <w:color w:val="030303"/>
          <w:kern w:val="0"/>
          <w:sz w:val="32"/>
          <w:szCs w:val="32"/>
          <w:shd w:val="clear" w:color="auto" w:fill="FFFFFF"/>
          <w:lang w:val="en-US" w:eastAsia="zh-CN" w:bidi="ar-SA"/>
        </w:rPr>
        <w:t>光伏电站监控采购招标公告</w:t>
      </w:r>
    </w:p>
    <w:p w14:paraId="2B55D467">
      <w:pPr>
        <w:spacing w:line="360" w:lineRule="auto"/>
        <w:ind w:firstLine="360" w:firstLine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根据相关法律法规等有关规定，宁国市永祥电力工程技术有限公司就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光伏电站监控</w:t>
      </w:r>
      <w:r>
        <w:rPr>
          <w:rFonts w:hint="eastAsia" w:ascii="宋体" w:hAnsi="宋体" w:eastAsia="宋体" w:cs="宋体"/>
          <w:sz w:val="24"/>
          <w:szCs w:val="24"/>
        </w:rPr>
        <w:t>物资采购进行公开招标，欢迎国内合格的供应商前来投标。</w:t>
      </w:r>
    </w:p>
    <w:p w14:paraId="462D9676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一、</w:t>
      </w:r>
      <w:r>
        <w:rPr>
          <w:rFonts w:hint="eastAsia" w:ascii="宋体" w:hAnsi="宋体" w:eastAsia="宋体" w:cs="宋体"/>
          <w:sz w:val="24"/>
          <w:szCs w:val="24"/>
        </w:rPr>
        <w:t>工程名称：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光伏电站监控采购项目</w:t>
      </w:r>
    </w:p>
    <w:p w14:paraId="0A842570">
      <w:pPr>
        <w:spacing w:line="36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二、项目编号：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/</w:t>
      </w:r>
    </w:p>
    <w:p w14:paraId="04CD9C57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三、招标项目概况：</w:t>
      </w:r>
    </w:p>
    <w:p w14:paraId="34C065C3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4G网络球机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 w14:paraId="75279523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1.1采购内容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及</w:t>
      </w:r>
      <w:r>
        <w:rPr>
          <w:rFonts w:hint="eastAsia" w:ascii="宋体" w:hAnsi="宋体" w:eastAsia="宋体" w:cs="宋体"/>
          <w:sz w:val="24"/>
          <w:szCs w:val="24"/>
        </w:rPr>
        <w:t>要求（见下表）：</w:t>
      </w:r>
    </w:p>
    <w:tbl>
      <w:tblPr>
        <w:tblStyle w:val="13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1587"/>
        <w:gridCol w:w="2605"/>
        <w:gridCol w:w="995"/>
        <w:gridCol w:w="832"/>
        <w:gridCol w:w="3021"/>
      </w:tblGrid>
      <w:tr w14:paraId="447178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98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4C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CA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规格型号（自行选定）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65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0EB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C23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4DC0EA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EF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33840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4G网络球机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CD01A"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根据技术参数要求</w:t>
            </w:r>
          </w:p>
          <w:p w14:paraId="39689B5E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（见附件）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A4FD97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E03B4A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C61A31">
            <w:pPr>
              <w:pStyle w:val="1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tLeast"/>
              <w:ind w:right="391"/>
              <w:textAlignment w:val="auto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sz w:val="21"/>
                <w:szCs w:val="21"/>
                <w:shd w:val="clear" w:fill="FFFFFF"/>
                <w:lang w:val="en-US" w:eastAsia="zh-CN"/>
              </w:rPr>
              <w:t>每台报价包含立杆（1.5-2.5米，含避雷针）；1年流量费；防水箱1个；公牛插座1个；线缆辅材一批；含一张128G球机存储卡；包含安装。</w:t>
            </w:r>
          </w:p>
          <w:p w14:paraId="6F55BBEA">
            <w:pPr>
              <w:spacing w:line="240" w:lineRule="auto"/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1B48AA84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391"/>
        <w:jc w:val="left"/>
        <w:textAlignment w:val="auto"/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</w:pPr>
    </w:p>
    <w:p w14:paraId="75AEF229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391" w:firstLine="240" w:firstLineChars="100"/>
        <w:jc w:val="left"/>
        <w:textAlignment w:val="auto"/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1.2提供服务范围包括但不限于：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  <w:lang w:eastAsia="zh-CN"/>
        </w:rPr>
        <w:t>弱电项目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的图纸资料、出厂试验、供货、包装、发运、现场交货、现场安装、现场调试、协助验收等。</w:t>
      </w:r>
    </w:p>
    <w:p w14:paraId="213FD0BF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391" w:firstLine="240" w:firstLineChars="100"/>
        <w:jc w:val="left"/>
        <w:textAlignment w:val="auto"/>
        <w:rPr>
          <w:rFonts w:hint="default" w:ascii="宋体" w:hAnsi="宋体" w:eastAsia="宋体" w:cs="宋体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1.3售后服务响应时间：</w:t>
      </w:r>
      <w:r>
        <w:rPr>
          <w:rFonts w:hint="eastAsia" w:ascii="宋体" w:hAnsi="宋体" w:eastAsia="宋体" w:cs="宋体"/>
          <w:i w:val="0"/>
          <w:iCs w:val="0"/>
          <w:caps w:val="0"/>
          <w:color w:val="030303"/>
          <w:spacing w:val="0"/>
          <w:sz w:val="24"/>
          <w:szCs w:val="24"/>
          <w:shd w:val="clear" w:fill="FFFFFF"/>
          <w:lang w:val="en-US" w:eastAsia="zh-CN"/>
        </w:rPr>
        <w:t>接到故障通知后工作时间内2h内到达现场，24h内完成故障处理。</w:t>
      </w:r>
    </w:p>
    <w:p w14:paraId="70D4F299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391" w:firstLine="240" w:firstLineChars="100"/>
        <w:jc w:val="left"/>
        <w:textAlignment w:val="auto"/>
        <w:rPr>
          <w:rFonts w:hint="eastAsia" w:ascii="宋体" w:hAnsi="宋体" w:eastAsia="宋体" w:cs="宋体"/>
          <w:color w:val="030303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1.4交货时间：</w:t>
      </w:r>
      <w:r>
        <w:rPr>
          <w:rFonts w:hint="eastAsia" w:ascii="宋体" w:hAnsi="宋体" w:eastAsia="宋体" w:cs="宋体"/>
          <w:color w:val="FF0000"/>
          <w:sz w:val="24"/>
          <w:szCs w:val="24"/>
          <w:highlight w:val="none"/>
          <w:shd w:val="clear" w:color="auto" w:fill="FFFFFF"/>
          <w:lang w:val="en-US" w:eastAsia="zh-CN"/>
        </w:rPr>
        <w:t>合同签订后10个日历天。</w:t>
      </w:r>
    </w:p>
    <w:p w14:paraId="334B50C3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391" w:firstLine="240" w:firstLineChars="100"/>
        <w:jc w:val="left"/>
        <w:textAlignment w:val="auto"/>
        <w:rPr>
          <w:rFonts w:hint="default" w:ascii="宋体" w:hAnsi="宋体" w:eastAsia="宋体" w:cs="宋体"/>
          <w:color w:val="FF0000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highlight w:val="none"/>
          <w:shd w:val="clear" w:color="auto" w:fill="FFFFFF"/>
          <w:lang w:val="en-US" w:eastAsia="zh-CN"/>
        </w:rPr>
        <w:t>1.5付款方式：</w:t>
      </w:r>
      <w:r>
        <w:rPr>
          <w:rFonts w:hint="eastAsia" w:ascii="宋体" w:hAnsi="宋体" w:eastAsia="宋体" w:cs="宋体"/>
          <w:color w:val="FF0000"/>
          <w:sz w:val="24"/>
          <w:szCs w:val="24"/>
          <w:highlight w:val="none"/>
          <w:shd w:val="clear" w:color="auto" w:fill="FFFFFF"/>
          <w:lang w:val="en-US" w:eastAsia="zh-CN"/>
        </w:rPr>
        <w:t>安装调试结束后，供货方需提供13%的增值专用发票，采购方审核后一次性付清。</w:t>
      </w:r>
    </w:p>
    <w:p w14:paraId="41278B80">
      <w:pPr>
        <w:pStyle w:val="12"/>
        <w:widowControl/>
        <w:spacing w:beforeAutospacing="0" w:afterAutospacing="0" w:line="360" w:lineRule="auto"/>
        <w:ind w:left="390" w:leftChars="0" w:right="39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四、供应商资格条件：</w:t>
      </w:r>
    </w:p>
    <w:p w14:paraId="34166D9A">
      <w:pPr>
        <w:pStyle w:val="12"/>
        <w:widowControl/>
        <w:spacing w:beforeAutospacing="0" w:afterAutospacing="0" w:line="360" w:lineRule="auto"/>
        <w:ind w:right="390" w:firstLine="240" w:firstLineChars="100"/>
        <w:jc w:val="left"/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1、在中华人民共和国注册，具有独立承担民事责任的能力；</w:t>
      </w:r>
    </w:p>
    <w:p w14:paraId="3D0270E9">
      <w:pPr>
        <w:pStyle w:val="12"/>
        <w:widowControl/>
        <w:spacing w:beforeAutospacing="0" w:afterAutospacing="0" w:line="360" w:lineRule="auto"/>
        <w:ind w:right="390" w:firstLine="240" w:firstLineChars="100"/>
        <w:jc w:val="left"/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、投标人具有良好的商业信誉和财务状况，没有处于被责令停业或破产状态，且资产未被重组、接管和冻结；</w:t>
      </w:r>
    </w:p>
    <w:p w14:paraId="67281D94">
      <w:pPr>
        <w:pStyle w:val="12"/>
        <w:widowControl/>
        <w:spacing w:beforeAutospacing="0" w:afterAutospacing="0" w:line="360" w:lineRule="auto"/>
        <w:ind w:left="390" w:leftChars="0" w:right="390" w:firstLine="120"/>
        <w:jc w:val="left"/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  <w:lang w:val="en-US" w:eastAsia="zh-CN"/>
        </w:rPr>
        <w:t>3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、投标人未被最高人民法院在“信用中国”网站（www.creditchina.gov.cn）列入失信被执行人名单。</w:t>
      </w:r>
    </w:p>
    <w:p w14:paraId="1BFA56FB">
      <w:pPr>
        <w:pStyle w:val="12"/>
        <w:widowControl/>
        <w:spacing w:beforeAutospacing="0" w:afterAutospacing="0" w:line="360" w:lineRule="auto"/>
        <w:ind w:left="0" w:leftChars="0" w:right="390" w:firstLine="480" w:firstLineChars="200"/>
        <w:jc w:val="left"/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五、报价文件内容：</w:t>
      </w:r>
    </w:p>
    <w:p w14:paraId="76DB397A">
      <w:pPr>
        <w:pStyle w:val="12"/>
        <w:widowControl/>
        <w:spacing w:beforeAutospacing="0" w:afterAutospacing="0" w:line="360" w:lineRule="auto"/>
        <w:ind w:left="0" w:leftChars="0" w:right="390" w:firstLine="720" w:firstLineChars="300"/>
        <w:jc w:val="left"/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1、投标报价表；</w:t>
      </w:r>
    </w:p>
    <w:p w14:paraId="33A9ECF9">
      <w:pPr>
        <w:pStyle w:val="12"/>
        <w:widowControl/>
        <w:spacing w:beforeAutospacing="0" w:afterAutospacing="0" w:line="360" w:lineRule="auto"/>
        <w:ind w:left="0" w:leftChars="0" w:right="390" w:firstLine="720" w:firstLineChars="300"/>
        <w:jc w:val="left"/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2、公司营业执照；</w:t>
      </w:r>
    </w:p>
    <w:p w14:paraId="2E77308D">
      <w:pPr>
        <w:pStyle w:val="12"/>
        <w:widowControl/>
        <w:spacing w:beforeAutospacing="0" w:afterAutospacing="0" w:line="360" w:lineRule="auto"/>
        <w:ind w:left="0" w:leftChars="0" w:right="390" w:firstLine="720" w:firstLineChars="300"/>
        <w:jc w:val="left"/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3、相关资质证书；</w:t>
      </w:r>
    </w:p>
    <w:p w14:paraId="654B4630">
      <w:pPr>
        <w:pStyle w:val="12"/>
        <w:widowControl/>
        <w:spacing w:beforeAutospacing="0" w:afterAutospacing="0" w:line="360" w:lineRule="auto"/>
        <w:ind w:left="0" w:leftChars="0" w:right="390" w:firstLine="720" w:firstLineChars="300"/>
        <w:jc w:val="left"/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 xml:space="preserve">4、经销商需提供授权证明。    </w:t>
      </w:r>
    </w:p>
    <w:p w14:paraId="7F500C9D">
      <w:pPr>
        <w:pStyle w:val="12"/>
        <w:widowControl/>
        <w:spacing w:beforeAutospacing="0" w:afterAutospacing="0" w:line="360" w:lineRule="auto"/>
        <w:ind w:left="0" w:leftChars="0" w:right="390" w:firstLine="480" w:firstLineChars="200"/>
        <w:jc w:val="left"/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六、评标原则：</w:t>
      </w:r>
    </w:p>
    <w:p w14:paraId="1F67AB53">
      <w:pPr>
        <w:pStyle w:val="12"/>
        <w:widowControl/>
        <w:spacing w:beforeAutospacing="0" w:afterAutospacing="0" w:line="360" w:lineRule="auto"/>
        <w:ind w:left="0" w:leftChars="0" w:right="390" w:firstLine="480" w:firstLineChars="200"/>
        <w:jc w:val="left"/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1、企业综合实力；</w:t>
      </w:r>
    </w:p>
    <w:p w14:paraId="274B3AF0">
      <w:pPr>
        <w:pStyle w:val="12"/>
        <w:widowControl/>
        <w:spacing w:beforeAutospacing="0" w:afterAutospacing="0" w:line="360" w:lineRule="auto"/>
        <w:ind w:left="0" w:leftChars="0" w:right="390" w:firstLine="480" w:firstLineChars="200"/>
        <w:jc w:val="left"/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2、资质合格；</w:t>
      </w:r>
    </w:p>
    <w:p w14:paraId="0DA3DF96">
      <w:pPr>
        <w:pStyle w:val="12"/>
        <w:widowControl/>
        <w:spacing w:beforeAutospacing="0" w:afterAutospacing="0" w:line="360" w:lineRule="auto"/>
        <w:ind w:left="0" w:leftChars="0" w:right="390" w:firstLine="480" w:firstLineChars="200"/>
        <w:jc w:val="left"/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3、质量可靠；</w:t>
      </w:r>
    </w:p>
    <w:p w14:paraId="7B4D483B">
      <w:pPr>
        <w:pStyle w:val="12"/>
        <w:widowControl/>
        <w:spacing w:beforeAutospacing="0" w:afterAutospacing="0" w:line="360" w:lineRule="auto"/>
        <w:ind w:left="210" w:leftChars="100" w:right="390" w:firstLine="240" w:firstLineChars="1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FFFFFF"/>
        </w:rPr>
        <w:t>4、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采用综合评分法：总分100分，其中报价70分，满足招标货物的功能参数及技术指标要求10分，企业履约评价10分，企业综合实力10分；总得分最高中标（详细见评分办法）。</w:t>
      </w:r>
    </w:p>
    <w:p w14:paraId="3F1451AE">
      <w:pPr>
        <w:pStyle w:val="12"/>
        <w:widowControl/>
        <w:spacing w:before="120" w:beforeAutospacing="0" w:after="120" w:afterAutospacing="0" w:line="360" w:lineRule="auto"/>
        <w:ind w:left="390" w:leftChars="0" w:right="39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七、报价截止时间：202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  <w:lang w:val="en-US" w:eastAsia="zh-CN"/>
        </w:rPr>
        <w:t>5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年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  <w:lang w:val="en-US" w:eastAsia="zh-CN"/>
        </w:rPr>
        <w:t>9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月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日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  <w:lang w:val="en-US" w:eastAsia="zh-CN"/>
        </w:rPr>
        <w:t>10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:30（北京时间）</w:t>
      </w:r>
    </w:p>
    <w:p w14:paraId="704E427F">
      <w:pPr>
        <w:pStyle w:val="12"/>
        <w:widowControl/>
        <w:spacing w:before="120" w:beforeAutospacing="0" w:after="120" w:afterAutospacing="0" w:line="360" w:lineRule="auto"/>
        <w:ind w:left="390" w:leftChars="0" w:right="390"/>
        <w:jc w:val="left"/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八、投标地址：不见面开标方式，报价文件邮寄宁国市永祥电力工程技术有限公司材料部，联系人：程先生，联系号码：15345639105。</w:t>
      </w:r>
    </w:p>
    <w:p w14:paraId="461FEBC4">
      <w:pPr>
        <w:pStyle w:val="12"/>
        <w:widowControl/>
        <w:spacing w:before="120" w:beforeAutospacing="0" w:after="120" w:afterAutospacing="0" w:line="360" w:lineRule="auto"/>
        <w:ind w:left="390" w:leftChars="0" w:right="390"/>
        <w:jc w:val="left"/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九、开标时间：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  <w:lang w:val="en-US" w:eastAsia="zh-CN"/>
        </w:rPr>
        <w:t>2025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年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  <w:lang w:val="en-US" w:eastAsia="zh-CN"/>
        </w:rPr>
        <w:t>9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月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日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  <w:lang w:val="en-US" w:eastAsia="zh-CN"/>
        </w:rPr>
        <w:t>10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:30（北京时间）</w:t>
      </w:r>
    </w:p>
    <w:p w14:paraId="1922D27D">
      <w:pPr>
        <w:pStyle w:val="12"/>
        <w:widowControl/>
        <w:spacing w:before="120" w:beforeAutospacing="0" w:after="120" w:afterAutospacing="0" w:line="360" w:lineRule="auto"/>
        <w:ind w:left="390" w:leftChars="0" w:right="39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十、开标地址：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fill="FFFFFF"/>
        </w:rPr>
        <w:t>科创服务中心大楼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宁国市永祥电力工程技术有限公司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  <w:lang w:eastAsia="zh-CN"/>
        </w:rPr>
        <w:t>七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楼会议室</w:t>
      </w:r>
    </w:p>
    <w:p w14:paraId="5191A4E9">
      <w:pPr>
        <w:pStyle w:val="12"/>
        <w:widowControl/>
        <w:spacing w:beforeAutospacing="0" w:afterAutospacing="0" w:line="360" w:lineRule="auto"/>
        <w:ind w:left="390" w:leftChars="0" w:right="39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十一、投标保证金：无</w:t>
      </w:r>
    </w:p>
    <w:p w14:paraId="33E99BF0">
      <w:pPr>
        <w:pStyle w:val="12"/>
        <w:widowControl/>
        <w:spacing w:before="120" w:beforeAutospacing="0" w:after="120" w:afterAutospacing="0" w:line="360" w:lineRule="auto"/>
        <w:ind w:left="390" w:leftChars="0" w:right="39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十二、公告期限：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  <w:lang w:val="en-US" w:eastAsia="zh-CN"/>
        </w:rPr>
        <w:t>3</w:t>
      </w: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个工作日</w:t>
      </w:r>
    </w:p>
    <w:p w14:paraId="720614BF">
      <w:pPr>
        <w:pStyle w:val="12"/>
        <w:widowControl/>
        <w:spacing w:before="120" w:beforeAutospacing="0" w:after="120" w:afterAutospacing="0" w:line="360" w:lineRule="auto"/>
        <w:ind w:left="390" w:leftChars="0" w:right="39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十三、其他事项：</w:t>
      </w:r>
    </w:p>
    <w:p w14:paraId="46A742B9">
      <w:pPr>
        <w:pStyle w:val="12"/>
        <w:widowControl/>
        <w:spacing w:before="120" w:beforeAutospacing="0" w:after="120" w:afterAutospacing="0" w:line="360" w:lineRule="auto"/>
        <w:ind w:left="390" w:leftChars="0" w:right="390" w:firstLine="225"/>
        <w:jc w:val="left"/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1、采购单位：宁国市永祥电力工程技术有限公司</w:t>
      </w:r>
    </w:p>
    <w:p w14:paraId="1074AE87">
      <w:pPr>
        <w:pStyle w:val="12"/>
        <w:widowControl/>
        <w:spacing w:before="120" w:beforeAutospacing="0" w:after="120" w:afterAutospacing="0" w:line="360" w:lineRule="auto"/>
        <w:ind w:left="390" w:leftChars="0" w:right="390" w:firstLine="734" w:firstLineChars="306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地址：安徽省宁国市经济技术开发区宁阳西路45号。</w:t>
      </w:r>
    </w:p>
    <w:p w14:paraId="50AE024A">
      <w:pPr>
        <w:pStyle w:val="12"/>
        <w:widowControl/>
        <w:spacing w:before="120" w:beforeAutospacing="0" w:after="120" w:afterAutospacing="0" w:line="360" w:lineRule="auto"/>
        <w:ind w:left="390" w:leftChars="0" w:right="390" w:firstLine="734" w:firstLineChars="306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联系人：程先生</w:t>
      </w:r>
    </w:p>
    <w:p w14:paraId="0DAF66CD">
      <w:pPr>
        <w:pStyle w:val="12"/>
        <w:widowControl/>
        <w:spacing w:before="120" w:beforeAutospacing="0" w:after="120" w:afterAutospacing="0" w:line="360" w:lineRule="auto"/>
        <w:ind w:left="390" w:leftChars="0" w:right="390" w:firstLine="734" w:firstLineChars="306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30303"/>
          <w:sz w:val="24"/>
          <w:szCs w:val="24"/>
          <w:shd w:val="clear" w:color="auto" w:fill="FFFFFF"/>
        </w:rPr>
        <w:t>联系电话：15345639105</w:t>
      </w:r>
    </w:p>
    <w:p w14:paraId="42AD4C73">
      <w:pPr>
        <w:numPr>
          <w:ilvl w:val="0"/>
          <w:numId w:val="10"/>
        </w:numPr>
        <w:spacing w:line="360" w:lineRule="auto"/>
        <w:ind w:left="0" w:leftChars="0"/>
        <w:jc w:val="left"/>
        <w:rPr>
          <w:rFonts w:hint="eastAsia" w:ascii="宋体" w:hAnsi="宋体" w:eastAsia="宋体" w:cs="宋体"/>
          <w:color w:val="030303"/>
          <w:kern w:val="0"/>
          <w:sz w:val="24"/>
          <w:szCs w:val="24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color w:val="030303"/>
          <w:kern w:val="0"/>
          <w:sz w:val="24"/>
          <w:szCs w:val="24"/>
          <w:shd w:val="clear" w:color="auto" w:fill="FFFFFF"/>
          <w:lang w:bidi="ar"/>
        </w:rPr>
        <w:t>封装要求：密封报价、封套上注明工程名称、包号、报价单位。</w:t>
      </w:r>
    </w:p>
    <w:p w14:paraId="06E8F1D3">
      <w:pPr>
        <w:pStyle w:val="27"/>
        <w:widowControl w:val="0"/>
        <w:spacing w:before="0" w:beforeAutospacing="0" w:after="0" w:afterAutospacing="0" w:line="550" w:lineRule="exact"/>
        <w:jc w:val="both"/>
        <w:rPr>
          <w:rFonts w:eastAsia="宋体" w:cs="宋体"/>
          <w:b/>
        </w:rPr>
      </w:pPr>
      <w:r>
        <w:rPr>
          <w:rFonts w:hint="eastAsia" w:eastAsia="宋体" w:cs="宋体"/>
          <w:b/>
        </w:rPr>
        <w:t>评分办法</w:t>
      </w:r>
    </w:p>
    <w:p w14:paraId="02255E67"/>
    <w:tbl>
      <w:tblPr>
        <w:tblStyle w:val="28"/>
        <w:tblW w:w="9500" w:type="dxa"/>
        <w:tblInd w:w="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 w14:paraId="080B23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vAlign w:val="center"/>
          </w:tcPr>
          <w:p w14:paraId="6DF271C3">
            <w:pPr>
              <w:spacing w:before="144" w:line="240" w:lineRule="auto"/>
              <w:ind w:left="204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vAlign w:val="center"/>
          </w:tcPr>
          <w:p w14:paraId="04CCE9FC">
            <w:pPr>
              <w:spacing w:before="144" w:line="240" w:lineRule="auto"/>
              <w:ind w:left="122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2"/>
                <w:sz w:val="24"/>
                <w:szCs w:val="24"/>
              </w:rPr>
              <w:t>评</w:t>
            </w:r>
            <w:r>
              <w:rPr>
                <w:rFonts w:hint="eastAsia" w:ascii="宋体" w:hAnsi="宋体" w:eastAsia="宋体" w:cs="宋体"/>
                <w:spacing w:val="9"/>
                <w:sz w:val="24"/>
                <w:szCs w:val="24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vAlign w:val="center"/>
          </w:tcPr>
          <w:p w14:paraId="2A38163B">
            <w:pPr>
              <w:spacing w:before="145" w:line="240" w:lineRule="auto"/>
              <w:ind w:left="2858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2"/>
                <w:sz w:val="24"/>
                <w:szCs w:val="24"/>
              </w:rPr>
              <w:t>评</w:t>
            </w:r>
            <w:r>
              <w:rPr>
                <w:rFonts w:hint="eastAsia" w:ascii="宋体" w:hAnsi="宋体" w:eastAsia="宋体" w:cs="宋体"/>
                <w:spacing w:val="9"/>
                <w:sz w:val="24"/>
                <w:szCs w:val="24"/>
              </w:rPr>
              <w:t>审标准</w:t>
            </w:r>
          </w:p>
        </w:tc>
      </w:tr>
      <w:tr w14:paraId="236097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7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4C2635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B5672DC">
            <w:pPr>
              <w:spacing w:before="64" w:line="240" w:lineRule="auto"/>
              <w:ind w:firstLine="476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CA610F5">
            <w:pPr>
              <w:spacing w:before="69" w:line="240" w:lineRule="auto"/>
              <w:ind w:right="301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分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值构成</w:t>
            </w:r>
          </w:p>
          <w:p w14:paraId="2F96CE33">
            <w:pPr>
              <w:spacing w:before="69" w:line="240" w:lineRule="auto"/>
              <w:ind w:right="301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4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pacing w:val="12"/>
                <w:sz w:val="24"/>
                <w:szCs w:val="24"/>
              </w:rPr>
              <w:t>100分)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vAlign w:val="center"/>
          </w:tcPr>
          <w:p w14:paraId="645FD63D">
            <w:pPr>
              <w:spacing w:before="154" w:line="240" w:lineRule="auto"/>
              <w:ind w:firstLine="848" w:firstLineChars="40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4"/>
                <w:sz w:val="24"/>
                <w:szCs w:val="24"/>
              </w:rPr>
              <w:t>投</w:t>
            </w: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标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报价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4"/>
                <w:szCs w:val="24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4"/>
                <w:szCs w:val="24"/>
              </w:rPr>
              <w:t>0 分；</w:t>
            </w:r>
          </w:p>
          <w:p w14:paraId="67A372B6">
            <w:pPr>
              <w:spacing w:before="112" w:line="240" w:lineRule="auto"/>
              <w:ind w:firstLine="832" w:firstLineChars="4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4"/>
                <w:szCs w:val="24"/>
              </w:rPr>
              <w:t>企业履约等级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4"/>
                <w:szCs w:val="24"/>
              </w:rPr>
              <w:t>：           10</w:t>
            </w: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分；</w:t>
            </w:r>
          </w:p>
          <w:p w14:paraId="675A442C">
            <w:pPr>
              <w:spacing w:before="113" w:line="240" w:lineRule="auto"/>
              <w:ind w:firstLine="848" w:firstLineChars="400"/>
              <w:jc w:val="center"/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4"/>
                <w:sz w:val="24"/>
                <w:szCs w:val="24"/>
              </w:rPr>
              <w:t>企业综合实力</w:t>
            </w: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：          10分。</w:t>
            </w:r>
          </w:p>
          <w:p w14:paraId="3D3C1221">
            <w:pPr>
              <w:pStyle w:val="2"/>
              <w:ind w:firstLine="240" w:firstLineChars="100"/>
              <w:rPr>
                <w:rFonts w:hint="default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满足招标货物的功能参数及技术指标要求：  10分。</w:t>
            </w:r>
          </w:p>
          <w:p w14:paraId="27C18AFF">
            <w:pPr>
              <w:pStyle w:val="2"/>
              <w:rPr>
                <w:rFonts w:hint="eastAsia"/>
                <w:sz w:val="24"/>
                <w:szCs w:val="24"/>
              </w:rPr>
            </w:pPr>
          </w:p>
        </w:tc>
      </w:tr>
      <w:tr w14:paraId="0B3AB4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C676A0C">
            <w:pPr>
              <w:spacing w:before="64" w:line="240" w:lineRule="auto"/>
              <w:jc w:val="center"/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9BD3F94">
            <w:pPr>
              <w:spacing w:before="68" w:line="240" w:lineRule="auto"/>
              <w:jc w:val="center"/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投标报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价</w:t>
            </w:r>
          </w:p>
          <w:p w14:paraId="78B5AFBA">
            <w:pPr>
              <w:spacing w:before="68"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0分）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vAlign w:val="center"/>
          </w:tcPr>
          <w:p w14:paraId="419591A4">
            <w:pPr>
              <w:spacing w:before="22" w:line="240" w:lineRule="auto"/>
              <w:ind w:firstLine="238" w:firstLineChars="100"/>
              <w:jc w:val="both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投标报价等于评标基准值的得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:lang w:val="en-US" w:eastAsia="zh-CN"/>
              </w:rPr>
              <w:t>70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分，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每高于评标基准值 1%的扣 0.5分。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投标报价分值=80- [| (投标报价-评标基准值)|/评标</w:t>
            </w: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基准值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</w:rPr>
              <w:t>*100]*0.5</w:t>
            </w:r>
          </w:p>
        </w:tc>
      </w:tr>
      <w:tr w14:paraId="224234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1AE56A7">
            <w:pPr>
              <w:spacing w:before="64" w:line="240" w:lineRule="auto"/>
              <w:jc w:val="center"/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6BCE7D9">
            <w:pPr>
              <w:spacing w:before="68" w:line="240" w:lineRule="auto"/>
              <w:jc w:val="center"/>
              <w:rPr>
                <w:rFonts w:hint="eastAsia" w:ascii="宋体" w:hAnsi="宋体" w:eastAsia="宋体" w:cs="宋体"/>
                <w:spacing w:val="-1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6"/>
                <w:sz w:val="24"/>
                <w:szCs w:val="24"/>
              </w:rPr>
              <w:t>企业履约等级</w:t>
            </w:r>
          </w:p>
          <w:p w14:paraId="6BE4304C">
            <w:pPr>
              <w:spacing w:before="68"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6"/>
                <w:sz w:val="24"/>
                <w:szCs w:val="24"/>
              </w:rPr>
              <w:t>（10分）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vAlign w:val="center"/>
          </w:tcPr>
          <w:p w14:paraId="509A3E14">
            <w:pPr>
              <w:spacing w:before="112" w:line="240" w:lineRule="auto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在永祥电力公司签约项目中合同履约优秀的得8-10，良好的得4-7分，一般的得1-3分。（首次参加永祥公司工程投标，无履约业绩的该项按5分计取）</w:t>
            </w:r>
          </w:p>
        </w:tc>
      </w:tr>
      <w:tr w14:paraId="22BBB0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4771A44">
            <w:pPr>
              <w:spacing w:before="64"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0746DD4">
            <w:pPr>
              <w:spacing w:before="68" w:line="240" w:lineRule="auto"/>
              <w:jc w:val="center"/>
              <w:rPr>
                <w:rFonts w:hint="eastAsia" w:ascii="宋体" w:hAnsi="宋体" w:eastAsia="宋体" w:cs="宋体"/>
                <w:spacing w:val="-1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4"/>
                <w:sz w:val="24"/>
                <w:szCs w:val="24"/>
              </w:rPr>
              <w:t>企业综合实力</w:t>
            </w:r>
          </w:p>
          <w:p w14:paraId="43B19142">
            <w:pPr>
              <w:spacing w:before="68"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6"/>
                <w:sz w:val="24"/>
                <w:szCs w:val="24"/>
              </w:rPr>
              <w:t>（10分）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4B8626E">
            <w:pPr>
              <w:spacing w:before="38" w:line="240" w:lineRule="auto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对投标企业综合实力进行评定，优秀的得8-10，良好的得4-7分，一般的得1-3分。</w:t>
            </w:r>
          </w:p>
        </w:tc>
      </w:tr>
      <w:tr w14:paraId="149060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2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8A5483C">
            <w:pPr>
              <w:spacing w:before="64" w:line="24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-1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8A330AB">
            <w:pPr>
              <w:spacing w:before="68" w:line="240" w:lineRule="auto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满足招标货物的功能参数及技术指标要求（10分）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vAlign w:val="center"/>
          </w:tcPr>
          <w:p w14:paraId="5D286424">
            <w:pPr>
              <w:spacing w:before="38" w:line="240" w:lineRule="auto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对于采购需求中标记“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●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”号条款的技术指标要求，满足1项并提供相关证明材料得3分；对于采购需求中标记“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★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”号条款的技术指标要求，满足1项并提供相关证明材料得4分。</w:t>
            </w:r>
            <w:bookmarkStart w:id="0" w:name="_GoBack"/>
            <w:bookmarkEnd w:id="0"/>
          </w:p>
        </w:tc>
      </w:tr>
    </w:tbl>
    <w:p w14:paraId="42125C6F"/>
    <w:sectPr>
      <w:pgSz w:w="11906" w:h="16838"/>
      <w:pgMar w:top="1440" w:right="1417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58E332"/>
    <w:multiLevelType w:val="multilevel"/>
    <w:tmpl w:val="8758E332"/>
    <w:lvl w:ilvl="0" w:tentative="0">
      <w:start w:val="1"/>
      <w:numFmt w:val="decimal"/>
      <w:lvlText w:val="%1."/>
      <w:lvlJc w:val="left"/>
      <w:pPr>
        <w:ind w:left="432" w:hanging="432"/>
      </w:pPr>
      <w:rPr>
        <w:rFonts w:hint="default" w:ascii="宋体" w:hAnsi="宋体" w:eastAsia="宋体" w:cs="宋体"/>
      </w:rPr>
    </w:lvl>
    <w:lvl w:ilvl="1" w:tentative="0">
      <w:start w:val="1"/>
      <w:numFmt w:val="decimal"/>
      <w:lvlText w:val="%1.%2."/>
      <w:lvlJc w:val="left"/>
      <w:pPr>
        <w:ind w:left="575" w:hanging="575"/>
      </w:pPr>
      <w:rPr>
        <w:rFonts w:hint="default" w:ascii="宋体" w:hAnsi="宋体" w:eastAsia="宋体" w:cs="宋体"/>
      </w:rPr>
    </w:lvl>
    <w:lvl w:ilvl="2" w:tentative="0">
      <w:start w:val="1"/>
      <w:numFmt w:val="decimal"/>
      <w:pStyle w:val="20"/>
      <w:lvlText w:val="%1.%2.%3."/>
      <w:lvlJc w:val="left"/>
      <w:pPr>
        <w:ind w:left="720" w:hanging="720"/>
      </w:pPr>
      <w:rPr>
        <w:rFonts w:hint="default" w:ascii="宋体" w:hAnsi="宋体" w:eastAsia="宋体" w:cs="宋体"/>
      </w:rPr>
    </w:lvl>
    <w:lvl w:ilvl="3" w:tentative="0">
      <w:start w:val="1"/>
      <w:numFmt w:val="decimal"/>
      <w:lvlRestart w:val="0"/>
      <w:lvlText w:val="%1.%2.%3.%4."/>
      <w:lvlJc w:val="left"/>
      <w:pPr>
        <w:ind w:left="864" w:hanging="864"/>
      </w:pPr>
      <w:rPr>
        <w:rFonts w:hint="default" w:ascii="宋体" w:hAnsi="宋体" w:eastAsia="宋体" w:cs="宋体"/>
      </w:rPr>
    </w:lvl>
    <w:lvl w:ilvl="4" w:tentative="0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abstractNum w:abstractNumId="1">
    <w:nsid w:val="B0FA004A"/>
    <w:multiLevelType w:val="multilevel"/>
    <w:tmpl w:val="B0FA004A"/>
    <w:lvl w:ilvl="0" w:tentative="0">
      <w:start w:val="1"/>
      <w:numFmt w:val="none"/>
      <w:pStyle w:val="22"/>
      <w:lvlText w:val="第一章%1"/>
      <w:lvlJc w:val="left"/>
      <w:pPr>
        <w:ind w:left="0" w:firstLine="0"/>
      </w:pPr>
      <w:rPr>
        <w:rFonts w:hint="default" w:ascii="宋体" w:hAnsi="宋体" w:eastAsia="宋体" w:cs="宋体"/>
      </w:rPr>
    </w:lvl>
    <w:lvl w:ilvl="1" w:tentative="0">
      <w:start w:val="1"/>
      <w:numFmt w:val="none"/>
      <w:pStyle w:val="4"/>
      <w:lvlText w:val="1.1"/>
      <w:lvlJc w:val="left"/>
      <w:pPr>
        <w:ind w:left="0" w:firstLine="0"/>
      </w:pPr>
      <w:rPr>
        <w:rFonts w:hint="default" w:ascii="宋体" w:hAnsi="宋体" w:eastAsia="宋体" w:cs="宋体"/>
      </w:rPr>
    </w:lvl>
    <w:lvl w:ilvl="2" w:tentative="0">
      <w:start w:val="1"/>
      <w:numFmt w:val="decimal"/>
      <w:isLgl/>
      <w:lvlText w:val="%1.%2.%3"/>
      <w:lvlJc w:val="left"/>
      <w:pPr>
        <w:ind w:left="0" w:firstLine="0"/>
      </w:pPr>
      <w:rPr>
        <w:rFonts w:hint="default" w:ascii="宋体" w:hAnsi="宋体" w:eastAsia="宋体" w:cs="宋体"/>
      </w:rPr>
    </w:lvl>
    <w:lvl w:ilvl="3" w:tentative="0">
      <w:start w:val="1"/>
      <w:numFmt w:val="decimal"/>
      <w:isLgl/>
      <w:lvlText w:val="%1.%2.%3.%4"/>
      <w:lvlJc w:val="left"/>
      <w:pPr>
        <w:ind w:left="0" w:firstLine="0"/>
      </w:pPr>
      <w:rPr>
        <w:rFonts w:hint="default" w:ascii="宋体" w:hAnsi="宋体" w:eastAsia="宋体" w:cs="宋体"/>
      </w:rPr>
    </w:lvl>
    <w:lvl w:ilvl="4" w:tentative="0">
      <w:start w:val="1"/>
      <w:numFmt w:val="decimal"/>
      <w:lvlText w:val="(%5)"/>
      <w:lvlJc w:val="left"/>
      <w:pPr>
        <w:ind w:left="3402" w:firstLine="0"/>
      </w:pPr>
      <w:rPr>
        <w:rFonts w:hint="eastAsia"/>
      </w:rPr>
    </w:lvl>
    <w:lvl w:ilvl="5" w:tentative="0">
      <w:start w:val="1"/>
      <w:numFmt w:val="lowerLetter"/>
      <w:lvlText w:val="(%6)"/>
      <w:lvlJc w:val="left"/>
      <w:pPr>
        <w:ind w:left="4252" w:firstLine="0"/>
      </w:pPr>
      <w:rPr>
        <w:rFonts w:hint="eastAsia"/>
      </w:rPr>
    </w:lvl>
    <w:lvl w:ilvl="6" w:tentative="0">
      <w:start w:val="1"/>
      <w:numFmt w:val="lowerRoman"/>
      <w:lvlText w:val="(%7)"/>
      <w:lvlJc w:val="left"/>
      <w:pPr>
        <w:ind w:left="5102" w:firstLine="0"/>
      </w:pPr>
      <w:rPr>
        <w:rFonts w:hint="eastAsia"/>
      </w:rPr>
    </w:lvl>
    <w:lvl w:ilvl="7" w:tentative="0">
      <w:start w:val="1"/>
      <w:numFmt w:val="lowerLetter"/>
      <w:lvlText w:val="(%8)"/>
      <w:lvlJc w:val="left"/>
      <w:pPr>
        <w:ind w:left="5953" w:firstLine="0"/>
      </w:pPr>
      <w:rPr>
        <w:rFonts w:hint="eastAsia"/>
      </w:rPr>
    </w:lvl>
    <w:lvl w:ilvl="8" w:tentative="0">
      <w:start w:val="1"/>
      <w:numFmt w:val="lowerRoman"/>
      <w:lvlText w:val="(%9)"/>
      <w:lvlJc w:val="left"/>
      <w:pPr>
        <w:ind w:left="6803" w:firstLine="0"/>
      </w:pPr>
      <w:rPr>
        <w:rFonts w:hint="default" w:ascii="宋体" w:hAnsi="宋体" w:eastAsia="宋体" w:cs="宋体"/>
      </w:rPr>
    </w:lvl>
  </w:abstractNum>
  <w:abstractNum w:abstractNumId="2">
    <w:nsid w:val="B1A5EB42"/>
    <w:multiLevelType w:val="multilevel"/>
    <w:tmpl w:val="B1A5EB42"/>
    <w:lvl w:ilvl="0" w:tentative="0">
      <w:start w:val="1"/>
      <w:numFmt w:val="decimal"/>
      <w:lvlText w:val="%1."/>
      <w:lvlJc w:val="left"/>
      <w:pPr>
        <w:ind w:left="432" w:hanging="432"/>
      </w:pPr>
      <w:rPr>
        <w:rFonts w:hint="default" w:ascii="宋体" w:hAnsi="宋体" w:eastAsia="宋体" w:cs="宋体"/>
      </w:rPr>
    </w:lvl>
    <w:lvl w:ilvl="1" w:tentative="0">
      <w:start w:val="1"/>
      <w:numFmt w:val="decimal"/>
      <w:lvlText w:val="%1.%2."/>
      <w:lvlJc w:val="left"/>
      <w:pPr>
        <w:ind w:left="575" w:hanging="575"/>
      </w:pPr>
      <w:rPr>
        <w:rFonts w:hint="default" w:ascii="宋体" w:hAnsi="宋体" w:eastAsia="宋体" w:cs="宋体"/>
      </w:rPr>
    </w:lvl>
    <w:lvl w:ilvl="2" w:tentative="0">
      <w:start w:val="1"/>
      <w:numFmt w:val="decimal"/>
      <w:pStyle w:val="24"/>
      <w:lvlText w:val="%1.%2.%3."/>
      <w:lvlJc w:val="left"/>
      <w:pPr>
        <w:ind w:left="720" w:hanging="720"/>
      </w:pPr>
      <w:rPr>
        <w:rFonts w:hint="default" w:ascii="宋体" w:hAnsi="宋体" w:eastAsia="宋体" w:cs="宋体"/>
      </w:rPr>
    </w:lvl>
    <w:lvl w:ilvl="3" w:tentative="0">
      <w:start w:val="1"/>
      <w:numFmt w:val="decimal"/>
      <w:lvlRestart w:val="0"/>
      <w:pStyle w:val="6"/>
      <w:lvlText w:val="%1.%2.%3.%4."/>
      <w:lvlJc w:val="left"/>
      <w:pPr>
        <w:ind w:left="864" w:hanging="864"/>
      </w:pPr>
      <w:rPr>
        <w:rFonts w:hint="default" w:ascii="宋体" w:hAnsi="宋体" w:eastAsia="宋体" w:cs="宋体"/>
      </w:rPr>
    </w:lvl>
    <w:lvl w:ilvl="4" w:tentative="0">
      <w:start w:val="1"/>
      <w:numFmt w:val="decimal"/>
      <w:pStyle w:val="7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pStyle w:val="8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pStyle w:val="9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pStyle w:val="10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pStyle w:val="11"/>
      <w:lvlText w:val="%1.%2.%3.%4.%5.%6.%7.%8.%9."/>
      <w:lvlJc w:val="left"/>
      <w:pPr>
        <w:ind w:left="1583" w:hanging="1583"/>
      </w:pPr>
      <w:rPr>
        <w:rFonts w:hint="default"/>
      </w:rPr>
    </w:lvl>
  </w:abstractNum>
  <w:abstractNum w:abstractNumId="3">
    <w:nsid w:val="CD19BB4C"/>
    <w:multiLevelType w:val="multilevel"/>
    <w:tmpl w:val="CD19BB4C"/>
    <w:lvl w:ilvl="0" w:tentative="0">
      <w:start w:val="1"/>
      <w:numFmt w:val="chineseCountingThousand"/>
      <w:lvlText w:val="第%1章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16"/>
      <w:isLgl/>
      <w:lvlText w:val="%1.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isLgl/>
      <w:lvlText w:val="%1.%2.%3"/>
      <w:lvlJc w:val="left"/>
      <w:pPr>
        <w:ind w:left="0" w:firstLine="0"/>
      </w:pPr>
      <w:rPr>
        <w:rFonts w:hint="eastAsia" w:ascii="宋体" w:hAnsi="宋体" w:eastAsia="宋体"/>
      </w:rPr>
    </w:lvl>
    <w:lvl w:ilvl="3" w:tentative="0">
      <w:start w:val="1"/>
      <w:numFmt w:val="decimal"/>
      <w:isLgl/>
      <w:lvlText w:val="%1.%2.%3.%4"/>
      <w:lvlJc w:val="left"/>
      <w:pPr>
        <w:ind w:left="0" w:firstLine="0"/>
      </w:pPr>
      <w:rPr>
        <w:rFonts w:hint="eastAsia" w:ascii="宋体" w:hAnsi="宋体" w:eastAsia="宋体"/>
      </w:rPr>
    </w:lvl>
    <w:lvl w:ilvl="4" w:tentative="0">
      <w:start w:val="1"/>
      <w:numFmt w:val="decimal"/>
      <w:lvlText w:val="(%5)"/>
      <w:lvlJc w:val="left"/>
      <w:pPr>
        <w:ind w:left="3402" w:firstLine="0"/>
      </w:pPr>
      <w:rPr>
        <w:rFonts w:hint="eastAsia"/>
      </w:rPr>
    </w:lvl>
    <w:lvl w:ilvl="5" w:tentative="0">
      <w:start w:val="1"/>
      <w:numFmt w:val="lowerLetter"/>
      <w:lvlText w:val="(%6)"/>
      <w:lvlJc w:val="left"/>
      <w:pPr>
        <w:ind w:left="4252" w:firstLine="0"/>
      </w:pPr>
      <w:rPr>
        <w:rFonts w:hint="eastAsia"/>
      </w:rPr>
    </w:lvl>
    <w:lvl w:ilvl="6" w:tentative="0">
      <w:start w:val="1"/>
      <w:numFmt w:val="lowerRoman"/>
      <w:lvlText w:val="(%7)"/>
      <w:lvlJc w:val="left"/>
      <w:pPr>
        <w:ind w:left="5102" w:firstLine="0"/>
      </w:pPr>
      <w:rPr>
        <w:rFonts w:hint="eastAsia"/>
      </w:rPr>
    </w:lvl>
    <w:lvl w:ilvl="7" w:tentative="0">
      <w:start w:val="1"/>
      <w:numFmt w:val="lowerLetter"/>
      <w:lvlText w:val="(%8)"/>
      <w:lvlJc w:val="left"/>
      <w:pPr>
        <w:ind w:left="5953" w:firstLine="0"/>
      </w:pPr>
      <w:rPr>
        <w:rFonts w:hint="eastAsia"/>
      </w:rPr>
    </w:lvl>
    <w:lvl w:ilvl="8" w:tentative="0">
      <w:start w:val="1"/>
      <w:numFmt w:val="lowerRoman"/>
      <w:lvlText w:val="(%9)"/>
      <w:lvlJc w:val="left"/>
      <w:pPr>
        <w:ind w:left="6803" w:firstLine="0"/>
      </w:pPr>
      <w:rPr>
        <w:rFonts w:hint="eastAsia"/>
      </w:rPr>
    </w:lvl>
  </w:abstractNum>
  <w:abstractNum w:abstractNumId="4">
    <w:nsid w:val="EDA6FB1E"/>
    <w:multiLevelType w:val="multilevel"/>
    <w:tmpl w:val="EDA6FB1E"/>
    <w:lvl w:ilvl="0" w:tentative="0">
      <w:start w:val="1"/>
      <w:numFmt w:val="decimal"/>
      <w:lvlText w:val="%1."/>
      <w:lvlJc w:val="left"/>
      <w:pPr>
        <w:ind w:left="432" w:hanging="432"/>
      </w:pPr>
      <w:rPr>
        <w:rFonts w:hint="default" w:ascii="宋体" w:hAnsi="宋体" w:eastAsia="宋体" w:cs="宋体"/>
      </w:rPr>
    </w:lvl>
    <w:lvl w:ilvl="1" w:tentative="0">
      <w:start w:val="1"/>
      <w:numFmt w:val="decimal"/>
      <w:lvlText w:val="%1.%2."/>
      <w:lvlJc w:val="left"/>
      <w:pPr>
        <w:ind w:left="575" w:hanging="575"/>
      </w:pPr>
      <w:rPr>
        <w:rFonts w:hint="default" w:ascii="宋体" w:hAnsi="宋体" w:eastAsia="宋体" w:cs="宋体"/>
      </w:rPr>
    </w:lvl>
    <w:lvl w:ilvl="2" w:tentative="0">
      <w:start w:val="1"/>
      <w:numFmt w:val="decimal"/>
      <w:pStyle w:val="21"/>
      <w:lvlText w:val="%1.%2.%3."/>
      <w:lvlJc w:val="left"/>
      <w:pPr>
        <w:ind w:left="720" w:hanging="720"/>
      </w:pPr>
      <w:rPr>
        <w:rFonts w:hint="default" w:ascii="宋体" w:hAnsi="宋体" w:eastAsia="宋体" w:cs="宋体"/>
      </w:rPr>
    </w:lvl>
    <w:lvl w:ilvl="3" w:tentative="0">
      <w:start w:val="1"/>
      <w:numFmt w:val="decimal"/>
      <w:lvlRestart w:val="0"/>
      <w:lvlText w:val="%1.%2.%3.%4."/>
      <w:lvlJc w:val="left"/>
      <w:pPr>
        <w:ind w:left="864" w:hanging="864"/>
      </w:pPr>
      <w:rPr>
        <w:rFonts w:hint="default" w:ascii="宋体" w:hAnsi="宋体" w:eastAsia="宋体" w:cs="宋体"/>
      </w:rPr>
    </w:lvl>
    <w:lvl w:ilvl="4" w:tentative="0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abstractNum w:abstractNumId="5">
    <w:nsid w:val="F40FD95D"/>
    <w:multiLevelType w:val="singleLevel"/>
    <w:tmpl w:val="F40FD95D"/>
    <w:lvl w:ilvl="0" w:tentative="0">
      <w:start w:val="2"/>
      <w:numFmt w:val="decimal"/>
      <w:suff w:val="nothing"/>
      <w:lvlText w:val="%1、"/>
      <w:lvlJc w:val="left"/>
      <w:pPr>
        <w:ind w:left="630" w:firstLine="0"/>
      </w:pPr>
    </w:lvl>
  </w:abstractNum>
  <w:abstractNum w:abstractNumId="6">
    <w:nsid w:val="0F0905F1"/>
    <w:multiLevelType w:val="multilevel"/>
    <w:tmpl w:val="0F0905F1"/>
    <w:lvl w:ilvl="0" w:tentative="0">
      <w:start w:val="1"/>
      <w:numFmt w:val="none"/>
      <w:pStyle w:val="3"/>
      <w:lvlText w:val="第一章%1"/>
      <w:lvlJc w:val="left"/>
      <w:pPr>
        <w:ind w:left="0" w:firstLine="0"/>
      </w:pPr>
      <w:rPr>
        <w:rFonts w:hint="default" w:ascii="宋体" w:hAnsi="宋体" w:eastAsia="宋体" w:cs="宋体"/>
      </w:rPr>
    </w:lvl>
    <w:lvl w:ilvl="1" w:tentative="0">
      <w:start w:val="1"/>
      <w:numFmt w:val="none"/>
      <w:pStyle w:val="23"/>
      <w:lvlText w:val="1.1"/>
      <w:lvlJc w:val="left"/>
      <w:pPr>
        <w:ind w:left="0" w:firstLine="0"/>
      </w:pPr>
      <w:rPr>
        <w:rFonts w:hint="default" w:ascii="宋体" w:hAnsi="宋体" w:eastAsia="宋体" w:cs="宋体"/>
      </w:rPr>
    </w:lvl>
    <w:lvl w:ilvl="2" w:tentative="0">
      <w:start w:val="1"/>
      <w:numFmt w:val="decimal"/>
      <w:isLgl/>
      <w:lvlText w:val="%1.%2.%3"/>
      <w:lvlJc w:val="left"/>
      <w:pPr>
        <w:ind w:left="0" w:firstLine="0"/>
      </w:pPr>
      <w:rPr>
        <w:rFonts w:hint="default" w:ascii="宋体" w:hAnsi="宋体" w:eastAsia="宋体" w:cs="宋体"/>
      </w:rPr>
    </w:lvl>
    <w:lvl w:ilvl="3" w:tentative="0">
      <w:start w:val="1"/>
      <w:numFmt w:val="decimal"/>
      <w:isLgl/>
      <w:lvlText w:val="%1.%2.%3.%4"/>
      <w:lvlJc w:val="left"/>
      <w:pPr>
        <w:ind w:left="0" w:firstLine="0"/>
      </w:pPr>
      <w:rPr>
        <w:rFonts w:hint="default" w:ascii="宋体" w:hAnsi="宋体" w:eastAsia="宋体" w:cs="宋体"/>
      </w:rPr>
    </w:lvl>
    <w:lvl w:ilvl="4" w:tentative="0">
      <w:start w:val="1"/>
      <w:numFmt w:val="decimal"/>
      <w:lvlText w:val="(%5)"/>
      <w:lvlJc w:val="left"/>
      <w:pPr>
        <w:ind w:left="3402" w:firstLine="0"/>
      </w:pPr>
      <w:rPr>
        <w:rFonts w:hint="eastAsia"/>
      </w:rPr>
    </w:lvl>
    <w:lvl w:ilvl="5" w:tentative="0">
      <w:start w:val="1"/>
      <w:numFmt w:val="lowerLetter"/>
      <w:lvlText w:val="(%6)"/>
      <w:lvlJc w:val="left"/>
      <w:pPr>
        <w:ind w:left="4252" w:firstLine="0"/>
      </w:pPr>
      <w:rPr>
        <w:rFonts w:hint="eastAsia"/>
      </w:rPr>
    </w:lvl>
    <w:lvl w:ilvl="6" w:tentative="0">
      <w:start w:val="1"/>
      <w:numFmt w:val="lowerRoman"/>
      <w:lvlText w:val="(%7)"/>
      <w:lvlJc w:val="left"/>
      <w:pPr>
        <w:ind w:left="5102" w:firstLine="0"/>
      </w:pPr>
      <w:rPr>
        <w:rFonts w:hint="eastAsia"/>
      </w:rPr>
    </w:lvl>
    <w:lvl w:ilvl="7" w:tentative="0">
      <w:start w:val="1"/>
      <w:numFmt w:val="lowerLetter"/>
      <w:lvlText w:val="(%8)"/>
      <w:lvlJc w:val="left"/>
      <w:pPr>
        <w:ind w:left="5953" w:firstLine="0"/>
      </w:pPr>
      <w:rPr>
        <w:rFonts w:hint="eastAsia"/>
      </w:rPr>
    </w:lvl>
    <w:lvl w:ilvl="8" w:tentative="0">
      <w:start w:val="1"/>
      <w:numFmt w:val="lowerRoman"/>
      <w:lvlText w:val="(%9)"/>
      <w:lvlJc w:val="left"/>
      <w:pPr>
        <w:ind w:left="6803" w:firstLine="0"/>
      </w:pPr>
      <w:rPr>
        <w:rFonts w:hint="default" w:ascii="宋体" w:hAnsi="宋体" w:eastAsia="宋体" w:cs="宋体"/>
      </w:rPr>
    </w:lvl>
  </w:abstractNum>
  <w:abstractNum w:abstractNumId="7">
    <w:nsid w:val="504F14E7"/>
    <w:multiLevelType w:val="multilevel"/>
    <w:tmpl w:val="504F14E7"/>
    <w:lvl w:ilvl="0" w:tentative="0">
      <w:start w:val="1"/>
      <w:numFmt w:val="chineseCountingThousand"/>
      <w:pStyle w:val="19"/>
      <w:lvlText w:val="第%1章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isLgl/>
      <w:lvlText w:val="%1.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isLgl/>
      <w:lvlText w:val="%1.%2.%3"/>
      <w:lvlJc w:val="left"/>
      <w:pPr>
        <w:ind w:left="0" w:firstLine="0"/>
      </w:pPr>
      <w:rPr>
        <w:rFonts w:hint="eastAsia" w:ascii="宋体" w:hAnsi="宋体" w:eastAsia="宋体"/>
      </w:rPr>
    </w:lvl>
    <w:lvl w:ilvl="3" w:tentative="0">
      <w:start w:val="1"/>
      <w:numFmt w:val="decimal"/>
      <w:isLgl/>
      <w:lvlText w:val="%1.%2.%3.%4"/>
      <w:lvlJc w:val="left"/>
      <w:pPr>
        <w:ind w:left="0" w:firstLine="0"/>
      </w:pPr>
      <w:rPr>
        <w:rFonts w:hint="eastAsia" w:ascii="宋体" w:hAnsi="宋体" w:eastAsia="宋体"/>
      </w:rPr>
    </w:lvl>
    <w:lvl w:ilvl="4" w:tentative="0">
      <w:start w:val="1"/>
      <w:numFmt w:val="decimal"/>
      <w:lvlText w:val="(%5)"/>
      <w:lvlJc w:val="left"/>
      <w:pPr>
        <w:ind w:left="3402" w:firstLine="0"/>
      </w:pPr>
      <w:rPr>
        <w:rFonts w:hint="eastAsia"/>
      </w:rPr>
    </w:lvl>
    <w:lvl w:ilvl="5" w:tentative="0">
      <w:start w:val="1"/>
      <w:numFmt w:val="lowerLetter"/>
      <w:lvlText w:val="(%6)"/>
      <w:lvlJc w:val="left"/>
      <w:pPr>
        <w:ind w:left="4252" w:firstLine="0"/>
      </w:pPr>
      <w:rPr>
        <w:rFonts w:hint="eastAsia"/>
      </w:rPr>
    </w:lvl>
    <w:lvl w:ilvl="6" w:tentative="0">
      <w:start w:val="1"/>
      <w:numFmt w:val="lowerRoman"/>
      <w:lvlText w:val="(%7)"/>
      <w:lvlJc w:val="left"/>
      <w:pPr>
        <w:ind w:left="5102" w:firstLine="0"/>
      </w:pPr>
      <w:rPr>
        <w:rFonts w:hint="eastAsia"/>
      </w:rPr>
    </w:lvl>
    <w:lvl w:ilvl="7" w:tentative="0">
      <w:start w:val="1"/>
      <w:numFmt w:val="lowerLetter"/>
      <w:lvlText w:val="(%8)"/>
      <w:lvlJc w:val="left"/>
      <w:pPr>
        <w:ind w:left="5953" w:firstLine="0"/>
      </w:pPr>
      <w:rPr>
        <w:rFonts w:hint="eastAsia"/>
      </w:rPr>
    </w:lvl>
    <w:lvl w:ilvl="8" w:tentative="0">
      <w:start w:val="1"/>
      <w:numFmt w:val="lowerRoman"/>
      <w:lvlText w:val="(%9)"/>
      <w:lvlJc w:val="left"/>
      <w:pPr>
        <w:ind w:left="6803" w:firstLine="0"/>
      </w:pPr>
      <w:rPr>
        <w:rFonts w:hint="eastAsia"/>
      </w:rPr>
    </w:lvl>
  </w:abstractNum>
  <w:abstractNum w:abstractNumId="8">
    <w:nsid w:val="6CACCA1F"/>
    <w:multiLevelType w:val="multilevel"/>
    <w:tmpl w:val="6CACCA1F"/>
    <w:lvl w:ilvl="0" w:tentative="0">
      <w:start w:val="1"/>
      <w:numFmt w:val="chineseCountingThousand"/>
      <w:pStyle w:val="18"/>
      <w:lvlText w:val="第%1章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isLgl/>
      <w:lvlText w:val="%1.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isLgl/>
      <w:lvlText w:val="%1.%2.%3"/>
      <w:lvlJc w:val="left"/>
      <w:pPr>
        <w:ind w:left="0" w:firstLine="0"/>
      </w:pPr>
      <w:rPr>
        <w:rFonts w:hint="eastAsia" w:ascii="宋体" w:hAnsi="宋体" w:eastAsia="宋体"/>
      </w:rPr>
    </w:lvl>
    <w:lvl w:ilvl="3" w:tentative="0">
      <w:start w:val="1"/>
      <w:numFmt w:val="decimal"/>
      <w:isLgl/>
      <w:lvlText w:val="%1.%2.%3.%4"/>
      <w:lvlJc w:val="left"/>
      <w:pPr>
        <w:ind w:left="0" w:firstLine="0"/>
      </w:pPr>
      <w:rPr>
        <w:rFonts w:hint="eastAsia" w:ascii="宋体" w:hAnsi="宋体" w:eastAsia="宋体"/>
      </w:rPr>
    </w:lvl>
    <w:lvl w:ilvl="4" w:tentative="0">
      <w:start w:val="1"/>
      <w:numFmt w:val="decimal"/>
      <w:lvlText w:val="(%5)"/>
      <w:lvlJc w:val="left"/>
      <w:pPr>
        <w:ind w:left="3402" w:firstLine="0"/>
      </w:pPr>
      <w:rPr>
        <w:rFonts w:hint="eastAsia"/>
      </w:rPr>
    </w:lvl>
    <w:lvl w:ilvl="5" w:tentative="0">
      <w:start w:val="1"/>
      <w:numFmt w:val="lowerLetter"/>
      <w:lvlText w:val="(%6)"/>
      <w:lvlJc w:val="left"/>
      <w:pPr>
        <w:ind w:left="4252" w:firstLine="0"/>
      </w:pPr>
      <w:rPr>
        <w:rFonts w:hint="eastAsia"/>
      </w:rPr>
    </w:lvl>
    <w:lvl w:ilvl="6" w:tentative="0">
      <w:start w:val="1"/>
      <w:numFmt w:val="lowerRoman"/>
      <w:lvlText w:val="(%7)"/>
      <w:lvlJc w:val="left"/>
      <w:pPr>
        <w:ind w:left="5102" w:firstLine="0"/>
      </w:pPr>
      <w:rPr>
        <w:rFonts w:hint="eastAsia"/>
      </w:rPr>
    </w:lvl>
    <w:lvl w:ilvl="7" w:tentative="0">
      <w:start w:val="1"/>
      <w:numFmt w:val="lowerLetter"/>
      <w:lvlText w:val="(%8)"/>
      <w:lvlJc w:val="left"/>
      <w:pPr>
        <w:ind w:left="5953" w:firstLine="0"/>
      </w:pPr>
      <w:rPr>
        <w:rFonts w:hint="eastAsia"/>
      </w:rPr>
    </w:lvl>
    <w:lvl w:ilvl="8" w:tentative="0">
      <w:start w:val="1"/>
      <w:numFmt w:val="lowerRoman"/>
      <w:lvlText w:val="(%9)"/>
      <w:lvlJc w:val="left"/>
      <w:pPr>
        <w:ind w:left="6803" w:firstLine="0"/>
      </w:pPr>
      <w:rPr>
        <w:rFonts w:hint="eastAsia"/>
      </w:rPr>
    </w:lvl>
  </w:abstractNum>
  <w:abstractNum w:abstractNumId="9">
    <w:nsid w:val="7FA9405B"/>
    <w:multiLevelType w:val="multilevel"/>
    <w:tmpl w:val="7FA9405B"/>
    <w:lvl w:ilvl="0" w:tentative="0">
      <w:start w:val="1"/>
      <w:numFmt w:val="decimal"/>
      <w:lvlText w:val="%1."/>
      <w:lvlJc w:val="left"/>
      <w:pPr>
        <w:ind w:left="432" w:hanging="432"/>
      </w:pPr>
      <w:rPr>
        <w:rFonts w:hint="default" w:ascii="宋体" w:hAnsi="宋体" w:eastAsia="宋体" w:cs="宋体"/>
      </w:rPr>
    </w:lvl>
    <w:lvl w:ilvl="1" w:tentative="0">
      <w:start w:val="1"/>
      <w:numFmt w:val="decimal"/>
      <w:lvlText w:val="%1.%2."/>
      <w:lvlJc w:val="left"/>
      <w:pPr>
        <w:ind w:left="575" w:hanging="575"/>
      </w:pPr>
      <w:rPr>
        <w:rFonts w:hint="default" w:ascii="宋体" w:hAnsi="宋体" w:eastAsia="宋体" w:cs="宋体"/>
      </w:rPr>
    </w:lvl>
    <w:lvl w:ilvl="2" w:tentative="0">
      <w:start w:val="1"/>
      <w:numFmt w:val="decimal"/>
      <w:pStyle w:val="17"/>
      <w:lvlText w:val="%1.%2.%3."/>
      <w:lvlJc w:val="left"/>
      <w:pPr>
        <w:ind w:left="720" w:hanging="720"/>
      </w:pPr>
      <w:rPr>
        <w:rFonts w:hint="default" w:ascii="宋体" w:hAnsi="宋体" w:eastAsia="宋体" w:cs="宋体"/>
      </w:rPr>
    </w:lvl>
    <w:lvl w:ilvl="3" w:tentative="0">
      <w:start w:val="1"/>
      <w:numFmt w:val="decimal"/>
      <w:lvlRestart w:val="0"/>
      <w:lvlText w:val="%1.%2.%3.%4."/>
      <w:lvlJc w:val="left"/>
      <w:pPr>
        <w:ind w:left="864" w:hanging="864"/>
      </w:pPr>
      <w:rPr>
        <w:rFonts w:hint="default" w:ascii="宋体" w:hAnsi="宋体" w:eastAsia="宋体" w:cs="宋体"/>
      </w:rPr>
    </w:lvl>
    <w:lvl w:ilvl="4" w:tentative="0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9"/>
  </w:num>
  <w:num w:numId="6">
    <w:abstractNumId w:val="8"/>
  </w:num>
  <w:num w:numId="7">
    <w:abstractNumId w:val="7"/>
  </w:num>
  <w:num w:numId="8">
    <w:abstractNumId w:val="0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39801C2C"/>
    <w:rsid w:val="020142C9"/>
    <w:rsid w:val="021F7714"/>
    <w:rsid w:val="050B2FD3"/>
    <w:rsid w:val="076D35C3"/>
    <w:rsid w:val="0CC31C91"/>
    <w:rsid w:val="10DE59BD"/>
    <w:rsid w:val="12881C68"/>
    <w:rsid w:val="12DA6CDD"/>
    <w:rsid w:val="1335442A"/>
    <w:rsid w:val="154442B2"/>
    <w:rsid w:val="18B11491"/>
    <w:rsid w:val="1E761B30"/>
    <w:rsid w:val="1EA91546"/>
    <w:rsid w:val="1EED58B5"/>
    <w:rsid w:val="1FDC2118"/>
    <w:rsid w:val="20557C5E"/>
    <w:rsid w:val="20ED21F1"/>
    <w:rsid w:val="216C24A0"/>
    <w:rsid w:val="26942327"/>
    <w:rsid w:val="27AF2276"/>
    <w:rsid w:val="284D6C43"/>
    <w:rsid w:val="28701902"/>
    <w:rsid w:val="29DC42D9"/>
    <w:rsid w:val="2ADC44DE"/>
    <w:rsid w:val="3490203B"/>
    <w:rsid w:val="350C0848"/>
    <w:rsid w:val="352E3D28"/>
    <w:rsid w:val="39801C2C"/>
    <w:rsid w:val="3B1B03E2"/>
    <w:rsid w:val="3C3A49BB"/>
    <w:rsid w:val="3E0C7A1D"/>
    <w:rsid w:val="3F51400A"/>
    <w:rsid w:val="423240AD"/>
    <w:rsid w:val="43081BD1"/>
    <w:rsid w:val="44143C5E"/>
    <w:rsid w:val="44754337"/>
    <w:rsid w:val="47E15633"/>
    <w:rsid w:val="483E056E"/>
    <w:rsid w:val="48B36C73"/>
    <w:rsid w:val="4A052289"/>
    <w:rsid w:val="4AB076D1"/>
    <w:rsid w:val="4D3C3BF4"/>
    <w:rsid w:val="4FA91872"/>
    <w:rsid w:val="512444E4"/>
    <w:rsid w:val="52796FD3"/>
    <w:rsid w:val="54890697"/>
    <w:rsid w:val="56C82913"/>
    <w:rsid w:val="58DF1D91"/>
    <w:rsid w:val="59550245"/>
    <w:rsid w:val="60854409"/>
    <w:rsid w:val="616F09C8"/>
    <w:rsid w:val="6A246396"/>
    <w:rsid w:val="6F7E3097"/>
    <w:rsid w:val="78564A75"/>
    <w:rsid w:val="7B6A27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2"/>
      </w:numPr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jc w:val="left"/>
      <w:outlineLvl w:val="2"/>
    </w:pPr>
    <w:rPr>
      <w:rFonts w:ascii="宋体" w:hAnsi="宋体" w:eastAsia="宋体" w:cs="Times New Roman"/>
      <w:b/>
      <w:bCs/>
      <w:sz w:val="28"/>
      <w:szCs w:val="32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3"/>
      </w:numPr>
      <w:spacing w:before="280" w:beforeLines="0" w:beforeAutospacing="0" w:after="290" w:afterLines="0" w:afterAutospacing="0" w:line="372" w:lineRule="auto"/>
      <w:ind w:left="864" w:hanging="864"/>
      <w:outlineLvl w:val="3"/>
    </w:pPr>
    <w:rPr>
      <w:rFonts w:ascii="Arial" w:hAnsi="Arial" w:eastAsia="黑体"/>
      <w:b/>
      <w:sz w:val="28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3"/>
      </w:numPr>
      <w:spacing w:before="280" w:beforeLines="0" w:beforeAutospacing="0" w:after="290" w:afterLines="0" w:afterAutospacing="0" w:line="372" w:lineRule="auto"/>
      <w:ind w:left="1008" w:hanging="1008"/>
      <w:outlineLvl w:val="4"/>
    </w:pPr>
    <w:rPr>
      <w:b/>
      <w:sz w:val="28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3"/>
      </w:numPr>
      <w:spacing w:before="240" w:beforeLines="0" w:beforeAutospacing="0" w:after="64" w:afterLines="0" w:afterAutospacing="0" w:line="317" w:lineRule="auto"/>
      <w:ind w:left="1151" w:hanging="1151"/>
      <w:outlineLvl w:val="5"/>
    </w:pPr>
    <w:rPr>
      <w:rFonts w:ascii="Arial" w:hAnsi="Arial" w:eastAsia="黑体"/>
      <w:b/>
      <w:sz w:val="24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3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b/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3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3"/>
      </w:numPr>
      <w:spacing w:before="240" w:beforeLines="0" w:beforeAutospacing="0" w:after="64" w:afterLines="0" w:afterAutospacing="0" w:line="317" w:lineRule="auto"/>
      <w:ind w:left="1583" w:hanging="1583"/>
      <w:outlineLvl w:val="8"/>
    </w:pPr>
    <w:rPr>
      <w:rFonts w:ascii="Arial" w:hAnsi="Arial" w:eastAsia="黑体"/>
      <w:sz w:val="21"/>
    </w:rPr>
  </w:style>
  <w:style w:type="character" w:default="1" w:styleId="15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6">
    <w:name w:val="样式2"/>
    <w:basedOn w:val="4"/>
    <w:next w:val="1"/>
    <w:qFormat/>
    <w:uiPriority w:val="0"/>
    <w:pPr>
      <w:numPr>
        <w:ilvl w:val="1"/>
        <w:numId w:val="4"/>
      </w:numPr>
    </w:pPr>
    <w:rPr>
      <w:rFonts w:ascii="Calibri Light" w:hAnsi="Calibri Light"/>
      <w:bCs/>
      <w:sz w:val="30"/>
      <w:szCs w:val="32"/>
    </w:rPr>
  </w:style>
  <w:style w:type="paragraph" w:customStyle="1" w:styleId="17">
    <w:name w:val="样式3"/>
    <w:basedOn w:val="5"/>
    <w:next w:val="1"/>
    <w:qFormat/>
    <w:uiPriority w:val="0"/>
    <w:pPr>
      <w:numPr>
        <w:ilvl w:val="2"/>
        <w:numId w:val="5"/>
      </w:numPr>
    </w:pPr>
    <w:rPr>
      <w:rFonts w:ascii="Calibri" w:hAnsi="Calibri"/>
      <w:sz w:val="30"/>
      <w:szCs w:val="32"/>
    </w:rPr>
  </w:style>
  <w:style w:type="paragraph" w:customStyle="1" w:styleId="18">
    <w:name w:val="样式4"/>
    <w:basedOn w:val="3"/>
    <w:next w:val="1"/>
    <w:qFormat/>
    <w:uiPriority w:val="0"/>
    <w:pPr>
      <w:numPr>
        <w:numId w:val="6"/>
      </w:numPr>
      <w:jc w:val="center"/>
    </w:pPr>
    <w:rPr>
      <w:rFonts w:ascii="Calibri" w:hAnsi="Calibri"/>
      <w:bCs/>
      <w:szCs w:val="44"/>
    </w:rPr>
  </w:style>
  <w:style w:type="paragraph" w:customStyle="1" w:styleId="19">
    <w:name w:val="大标题"/>
    <w:basedOn w:val="3"/>
    <w:next w:val="16"/>
    <w:qFormat/>
    <w:uiPriority w:val="0"/>
    <w:pPr>
      <w:numPr>
        <w:numId w:val="7"/>
      </w:numPr>
      <w:spacing w:line="360" w:lineRule="auto"/>
      <w:jc w:val="center"/>
    </w:pPr>
    <w:rPr>
      <w:rFonts w:ascii="Calibri" w:hAnsi="Calibri"/>
      <w:bCs/>
      <w:sz w:val="36"/>
      <w:szCs w:val="44"/>
    </w:rPr>
  </w:style>
  <w:style w:type="paragraph" w:customStyle="1" w:styleId="20">
    <w:name w:val="样式5"/>
    <w:basedOn w:val="5"/>
    <w:next w:val="1"/>
    <w:qFormat/>
    <w:uiPriority w:val="0"/>
    <w:pPr>
      <w:numPr>
        <w:ilvl w:val="2"/>
        <w:numId w:val="8"/>
      </w:numPr>
    </w:pPr>
    <w:rPr>
      <w:rFonts w:ascii="Calibri" w:hAnsi="Calibri"/>
      <w:szCs w:val="32"/>
    </w:rPr>
  </w:style>
  <w:style w:type="paragraph" w:customStyle="1" w:styleId="21">
    <w:name w:val="样式7"/>
    <w:basedOn w:val="5"/>
    <w:next w:val="1"/>
    <w:qFormat/>
    <w:uiPriority w:val="0"/>
    <w:pPr>
      <w:numPr>
        <w:ilvl w:val="2"/>
        <w:numId w:val="9"/>
      </w:numPr>
    </w:pPr>
    <w:rPr>
      <w:rFonts w:ascii="Calibri" w:hAnsi="Calibri"/>
      <w:szCs w:val="32"/>
    </w:rPr>
  </w:style>
  <w:style w:type="paragraph" w:customStyle="1" w:styleId="22">
    <w:name w:val="章节"/>
    <w:basedOn w:val="3"/>
    <w:next w:val="4"/>
    <w:qFormat/>
    <w:uiPriority w:val="0"/>
    <w:pPr>
      <w:numPr>
        <w:numId w:val="2"/>
      </w:numPr>
      <w:jc w:val="center"/>
    </w:pPr>
    <w:rPr>
      <w:rFonts w:ascii="Calibri" w:hAnsi="Calibri"/>
      <w:bCs/>
      <w:szCs w:val="44"/>
    </w:rPr>
  </w:style>
  <w:style w:type="paragraph" w:customStyle="1" w:styleId="23">
    <w:name w:val="二节"/>
    <w:basedOn w:val="4"/>
    <w:next w:val="5"/>
    <w:qFormat/>
    <w:uiPriority w:val="0"/>
    <w:pPr>
      <w:numPr>
        <w:numId w:val="1"/>
      </w:numPr>
      <w:jc w:val="center"/>
    </w:pPr>
    <w:rPr>
      <w:rFonts w:ascii="Calibri Light" w:hAnsi="Calibri Light"/>
      <w:bCs/>
      <w:szCs w:val="32"/>
    </w:rPr>
  </w:style>
  <w:style w:type="paragraph" w:customStyle="1" w:styleId="24">
    <w:name w:val="三节"/>
    <w:basedOn w:val="5"/>
    <w:next w:val="1"/>
    <w:qFormat/>
    <w:uiPriority w:val="0"/>
    <w:pPr>
      <w:numPr>
        <w:ilvl w:val="2"/>
        <w:numId w:val="3"/>
      </w:numPr>
      <w:jc w:val="center"/>
    </w:pPr>
    <w:rPr>
      <w:rFonts w:ascii="Calibri" w:hAnsi="Calibri"/>
      <w:szCs w:val="32"/>
    </w:rPr>
  </w:style>
  <w:style w:type="paragraph" w:styleId="25">
    <w:name w:val="List Paragraph"/>
    <w:basedOn w:val="1"/>
    <w:qFormat/>
    <w:uiPriority w:val="34"/>
    <w:pPr>
      <w:widowControl w:val="0"/>
      <w:adjustRightInd/>
      <w:snapToGrid/>
      <w:spacing w:after="0"/>
      <w:ind w:firstLine="420" w:firstLineChars="200"/>
      <w:jc w:val="both"/>
    </w:pPr>
    <w:rPr>
      <w:rFonts w:asciiTheme="minorHAnsi" w:hAnsiTheme="minorHAnsi" w:eastAsiaTheme="minorEastAsia"/>
      <w:kern w:val="2"/>
      <w:sz w:val="21"/>
    </w:rPr>
  </w:style>
  <w:style w:type="paragraph" w:customStyle="1" w:styleId="26">
    <w:name w:val="无间隔1"/>
    <w:basedOn w:val="1"/>
    <w:qFormat/>
    <w:uiPriority w:val="1"/>
    <w:pPr>
      <w:widowControl w:val="0"/>
      <w:adjustRightInd/>
      <w:snapToGrid/>
      <w:spacing w:after="0" w:line="400" w:lineRule="exact"/>
      <w:jc w:val="both"/>
    </w:pPr>
    <w:rPr>
      <w:rFonts w:ascii="Times New Roman" w:hAnsi="Times New Roman" w:eastAsia="宋体" w:cs="Times New Roman"/>
      <w:kern w:val="2"/>
      <w:sz w:val="24"/>
      <w:szCs w:val="24"/>
    </w:rPr>
  </w:style>
  <w:style w:type="paragraph" w:customStyle="1" w:styleId="27">
    <w:name w:val="普通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2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1266</Words>
  <Characters>1392</Characters>
  <Lines>0</Lines>
  <Paragraphs>0</Paragraphs>
  <TotalTime>14</TotalTime>
  <ScaleCrop>false</ScaleCrop>
  <LinksUpToDate>false</LinksUpToDate>
  <CharactersWithSpaces>1455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2024-09-06T02:13:00Z</dcterms:created>
  <dc:creator>张辉</dc:creator>
  <cp:lastModifiedBy>迷人</cp:lastModifiedBy>
  <dcterms:modified xsi:type="dcterms:W3CDTF">2025-09-01T03:00:23Z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A1A50F7E06D24F3B98798932B112DAAF_13</vt:lpwstr>
  </property>
  <property fmtid="{D5CDD505-2E9C-101B-9397-08002B2CF9AE}" pid="4" name="KSOTemplateDocerSaveRecord">
    <vt:lpwstr>eyJoZGlkIjoiNzcxMGRkNTVjYTBlODVjNTljZTM3M2Q5N2RjZjNjODEiLCJ1c2VySWQiOiIyMzc3OTQ3NDYifQ==</vt:lpwstr>
  </property>
</Properties>
</file>