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安徽东拓物流工业设备有限公司1.5MW光伏发电项目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安徽东拓物流工业设备有限公司1.5MW光伏发电项目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YX-GF-095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安徽威克特新能源有限公司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2025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总工期90日历天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2C113C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7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