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</w:p>
    <w:p>
      <w:pPr>
        <w:pStyle w:val="2"/>
        <w:ind w:left="0"/>
      </w:pPr>
    </w:p>
    <w:p>
      <w:pPr>
        <w:widowControl/>
        <w:textAlignment w:val="center"/>
        <w:rPr>
          <w:rFonts w:ascii="华文中宋" w:hAnsi="华文中宋" w:eastAsia="华文中宋" w:cs="华文中宋"/>
          <w:b/>
          <w:bCs/>
          <w:kern w:val="0"/>
          <w:sz w:val="32"/>
          <w:szCs w:val="32"/>
          <w:lang w:bidi="ar"/>
        </w:rPr>
      </w:pPr>
      <w:r>
        <w:rPr>
          <w:rFonts w:hint="eastAsia" w:ascii="华文中宋" w:hAnsi="华文中宋" w:eastAsia="华文中宋" w:cs="华文中宋"/>
          <w:b/>
          <w:bCs/>
          <w:kern w:val="0"/>
          <w:sz w:val="32"/>
          <w:szCs w:val="32"/>
          <w:lang w:bidi="ar"/>
        </w:rPr>
        <w:t>附件一：</w:t>
      </w:r>
    </w:p>
    <w:tbl>
      <w:tblPr>
        <w:tblStyle w:val="3"/>
        <w:tblW w:w="999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581"/>
        <w:gridCol w:w="1555"/>
        <w:gridCol w:w="1250"/>
        <w:gridCol w:w="1337"/>
        <w:gridCol w:w="1527"/>
        <w:gridCol w:w="20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999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kern w:val="0"/>
                <w:sz w:val="32"/>
                <w:szCs w:val="32"/>
                <w:lang w:val="en-US" w:eastAsia="zh-CN" w:bidi="ar"/>
              </w:rPr>
              <w:t>2024</w:t>
            </w:r>
            <w:r>
              <w:rPr>
                <w:rFonts w:ascii="华文中宋" w:hAnsi="华文中宋" w:eastAsia="华文中宋" w:cs="华文中宋"/>
                <w:b/>
                <w:bCs/>
                <w:kern w:val="0"/>
                <w:sz w:val="32"/>
                <w:szCs w:val="32"/>
                <w:lang w:bidi="ar"/>
              </w:rPr>
              <w:t>年度</w:t>
            </w:r>
            <w:r>
              <w:rPr>
                <w:rFonts w:hint="eastAsia" w:ascii="华文中宋" w:hAnsi="华文中宋" w:eastAsia="华文中宋" w:cs="华文中宋"/>
                <w:b/>
                <w:bCs/>
                <w:kern w:val="0"/>
                <w:sz w:val="32"/>
                <w:szCs w:val="32"/>
                <w:lang w:bidi="ar"/>
              </w:rPr>
              <w:t>电力</w:t>
            </w:r>
            <w:r>
              <w:rPr>
                <w:rFonts w:ascii="华文中宋" w:hAnsi="华文中宋" w:eastAsia="华文中宋" w:cs="华文中宋"/>
                <w:b/>
                <w:bCs/>
                <w:kern w:val="0"/>
                <w:sz w:val="32"/>
                <w:szCs w:val="32"/>
                <w:lang w:bidi="ar"/>
              </w:rPr>
              <w:t>工程</w:t>
            </w:r>
            <w:r>
              <w:rPr>
                <w:rFonts w:hint="eastAsia" w:ascii="华文中宋" w:hAnsi="华文中宋" w:eastAsia="华文中宋" w:cs="华文中宋"/>
                <w:b/>
                <w:bCs/>
                <w:kern w:val="0"/>
                <w:sz w:val="32"/>
                <w:szCs w:val="32"/>
                <w:lang w:bidi="ar"/>
              </w:rPr>
              <w:t>劳务</w:t>
            </w:r>
            <w:r>
              <w:rPr>
                <w:rFonts w:ascii="华文中宋" w:hAnsi="华文中宋" w:eastAsia="华文中宋" w:cs="华文中宋"/>
                <w:b/>
                <w:bCs/>
                <w:kern w:val="0"/>
                <w:sz w:val="32"/>
                <w:szCs w:val="32"/>
                <w:lang w:bidi="ar"/>
              </w:rPr>
              <w:t>分包</w:t>
            </w:r>
            <w:r>
              <w:rPr>
                <w:rFonts w:hint="eastAsia" w:ascii="华文中宋" w:hAnsi="华文中宋" w:eastAsia="华文中宋" w:cs="华文中宋"/>
                <w:b/>
                <w:bCs/>
                <w:kern w:val="0"/>
                <w:sz w:val="32"/>
                <w:szCs w:val="32"/>
                <w:lang w:bidi="ar"/>
              </w:rPr>
              <w:t>协议单价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项目单位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工程类别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结算方式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结算比例（百分比）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固定单价（元）</w:t>
            </w:r>
          </w:p>
        </w:tc>
        <w:tc>
          <w:tcPr>
            <w:tcW w:w="2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宁国供电公司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城农网工程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下浮率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"/>
              </w:rPr>
              <w:t>82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%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06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按甲方与项目单位施工费审定金额或决算金额下浮，如该工程在施工过程中安全、质量、进度、资料不能够满足甲方要求，则各按1%的结算比例给于扣减。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用户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业扩项目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下浮率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  <w:t>8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%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0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集体企业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城农网工程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下浮率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8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%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0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建投集团及其子公司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电力工程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下浮率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8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%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0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  <w:tc>
          <w:tcPr>
            <w:tcW w:w="31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抢修项目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下浮率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8</w:t>
            </w:r>
            <w:r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  <w:t>8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%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0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8</w:t>
            </w:r>
          </w:p>
        </w:tc>
        <w:tc>
          <w:tcPr>
            <w:tcW w:w="1581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柱上开关新装/更换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固定单价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000</w:t>
            </w:r>
          </w:p>
        </w:tc>
        <w:tc>
          <w:tcPr>
            <w:tcW w:w="20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含该类工作涉及的辅助作业及机械等所有费用。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9</w:t>
            </w:r>
          </w:p>
        </w:tc>
        <w:tc>
          <w:tcPr>
            <w:tcW w:w="15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计量箱新装/更换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固定单价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4000</w:t>
            </w:r>
          </w:p>
        </w:tc>
        <w:tc>
          <w:tcPr>
            <w:tcW w:w="20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10</w:t>
            </w:r>
          </w:p>
        </w:tc>
        <w:tc>
          <w:tcPr>
            <w:tcW w:w="15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跌落保险新装/更换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固定单价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带电</w:t>
            </w:r>
            <w:r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  <w:t>30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00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停电</w:t>
            </w:r>
            <w:r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  <w:t>25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00</w:t>
            </w:r>
          </w:p>
        </w:tc>
        <w:tc>
          <w:tcPr>
            <w:tcW w:w="20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15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零星及帮忙用工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固定单价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400</w:t>
            </w:r>
          </w:p>
        </w:tc>
        <w:tc>
          <w:tcPr>
            <w:tcW w:w="2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工日单价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 w:eastAsiaTheme="minorEastAsia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15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 w:eastAsiaTheme="minorEastAsia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铁塔组立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固定单价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 w:eastAsiaTheme="minorEastAsia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"/>
              </w:rPr>
              <w:t>8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00元/T</w:t>
            </w:r>
          </w:p>
        </w:tc>
        <w:tc>
          <w:tcPr>
            <w:tcW w:w="2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 w:eastAsiaTheme="minorEastAsia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158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 w:eastAsiaTheme="minorEastAsia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城区表计安装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固定单价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 w:eastAsiaTheme="minorEastAsia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60元/块</w:t>
            </w:r>
          </w:p>
        </w:tc>
        <w:tc>
          <w:tcPr>
            <w:tcW w:w="2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99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 xml:space="preserve">  以上价款为含税价。</w:t>
            </w:r>
            <w:r>
              <w:rPr>
                <w:rFonts w:hint="eastAsia" w:ascii="仿宋_GB2312" w:hAnsi="仿宋" w:eastAsia="仿宋_GB2312"/>
                <w:sz w:val="28"/>
              </w:rPr>
              <w:t xml:space="preserve"> </w:t>
            </w:r>
          </w:p>
        </w:tc>
      </w:tr>
    </w:tbl>
    <w:p>
      <w:pPr>
        <w:pStyle w:val="2"/>
      </w:pPr>
    </w:p>
    <w:p>
      <w:pPr>
        <w:pStyle w:val="2"/>
        <w:rPr>
          <w:rFonts w:eastAsia="仿宋_GB2312"/>
          <w:sz w:val="32"/>
          <w:szCs w:val="32"/>
        </w:rPr>
      </w:pPr>
    </w:p>
    <w:p>
      <w:pPr>
        <w:rPr>
          <w:rFonts w:eastAsia="仿宋_GB2312"/>
          <w:sz w:val="32"/>
          <w:szCs w:val="32"/>
        </w:rPr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>
      <w:pPr>
        <w:widowControl/>
        <w:textAlignment w:val="center"/>
        <w:rPr>
          <w:rFonts w:ascii="华文中宋" w:hAnsi="华文中宋" w:eastAsia="华文中宋" w:cs="华文中宋"/>
          <w:b/>
          <w:bCs/>
          <w:kern w:val="0"/>
          <w:sz w:val="32"/>
          <w:szCs w:val="32"/>
          <w:lang w:bidi="ar"/>
        </w:rPr>
      </w:pPr>
      <w:r>
        <w:rPr>
          <w:rFonts w:hint="eastAsia" w:ascii="华文中宋" w:hAnsi="华文中宋" w:eastAsia="华文中宋" w:cs="华文中宋"/>
          <w:b/>
          <w:bCs/>
          <w:kern w:val="0"/>
          <w:sz w:val="32"/>
          <w:szCs w:val="32"/>
          <w:lang w:bidi="ar"/>
        </w:rPr>
        <w:t>附件二：</w:t>
      </w:r>
    </w:p>
    <w:p>
      <w:pPr>
        <w:ind w:right="640"/>
        <w:rPr>
          <w:rFonts w:ascii="宋体" w:hAnsi="宋体" w:cs="宋体"/>
          <w:b/>
          <w:bCs/>
          <w:sz w:val="28"/>
          <w:szCs w:val="28"/>
        </w:rPr>
      </w:pPr>
    </w:p>
    <w:p>
      <w:pPr>
        <w:ind w:right="640"/>
        <w:jc w:val="center"/>
        <w:rPr>
          <w:rFonts w:ascii="华文中宋" w:hAnsi="华文中宋" w:eastAsia="华文中宋" w:cs="华文中宋"/>
          <w:b/>
          <w:bCs/>
          <w:kern w:val="0"/>
          <w:sz w:val="32"/>
          <w:szCs w:val="32"/>
          <w:lang w:bidi="ar"/>
        </w:rPr>
      </w:pPr>
      <w:r>
        <w:rPr>
          <w:rFonts w:hint="eastAsia" w:ascii="华文中宋" w:hAnsi="华文中宋" w:eastAsia="华文中宋" w:cs="华文中宋"/>
          <w:b/>
          <w:bCs/>
          <w:kern w:val="0"/>
          <w:sz w:val="32"/>
          <w:szCs w:val="32"/>
          <w:lang w:val="en-US" w:eastAsia="zh-CN" w:bidi="ar"/>
        </w:rPr>
        <w:t xml:space="preserve">    2024</w:t>
      </w:r>
      <w:r>
        <w:rPr>
          <w:rFonts w:ascii="华文中宋" w:hAnsi="华文中宋" w:eastAsia="华文中宋" w:cs="华文中宋"/>
          <w:b/>
          <w:bCs/>
          <w:kern w:val="0"/>
          <w:sz w:val="32"/>
          <w:szCs w:val="32"/>
          <w:lang w:bidi="ar"/>
        </w:rPr>
        <w:t>年度</w:t>
      </w:r>
      <w:r>
        <w:rPr>
          <w:rFonts w:hint="eastAsia" w:ascii="华文中宋" w:hAnsi="华文中宋" w:eastAsia="华文中宋" w:cs="华文中宋"/>
          <w:b/>
          <w:bCs/>
          <w:kern w:val="0"/>
          <w:sz w:val="32"/>
          <w:szCs w:val="32"/>
          <w:lang w:bidi="ar"/>
        </w:rPr>
        <w:t>电力</w:t>
      </w:r>
      <w:r>
        <w:rPr>
          <w:rFonts w:ascii="华文中宋" w:hAnsi="华文中宋" w:eastAsia="华文中宋" w:cs="华文中宋"/>
          <w:b/>
          <w:bCs/>
          <w:kern w:val="0"/>
          <w:sz w:val="32"/>
          <w:szCs w:val="32"/>
          <w:lang w:bidi="ar"/>
        </w:rPr>
        <w:t>工程</w:t>
      </w:r>
      <w:r>
        <w:rPr>
          <w:rFonts w:hint="eastAsia" w:ascii="华文中宋" w:hAnsi="华文中宋" w:eastAsia="华文中宋" w:cs="华文中宋"/>
          <w:b/>
          <w:bCs/>
          <w:kern w:val="0"/>
          <w:sz w:val="32"/>
          <w:szCs w:val="32"/>
          <w:lang w:bidi="ar"/>
        </w:rPr>
        <w:t>配套土建劳务</w:t>
      </w:r>
      <w:r>
        <w:rPr>
          <w:rFonts w:ascii="华文中宋" w:hAnsi="华文中宋" w:eastAsia="华文中宋" w:cs="华文中宋"/>
          <w:b/>
          <w:bCs/>
          <w:kern w:val="0"/>
          <w:sz w:val="32"/>
          <w:szCs w:val="32"/>
          <w:lang w:bidi="ar"/>
        </w:rPr>
        <w:t>分包</w:t>
      </w:r>
      <w:r>
        <w:rPr>
          <w:rFonts w:hint="eastAsia" w:ascii="华文中宋" w:hAnsi="华文中宋" w:eastAsia="华文中宋" w:cs="华文中宋"/>
          <w:b/>
          <w:bCs/>
          <w:kern w:val="0"/>
          <w:sz w:val="32"/>
          <w:szCs w:val="32"/>
          <w:lang w:bidi="ar"/>
        </w:rPr>
        <w:t>协议单价</w:t>
      </w:r>
    </w:p>
    <w:p>
      <w:pPr>
        <w:pStyle w:val="2"/>
      </w:pPr>
    </w:p>
    <w:p>
      <w:pPr>
        <w:ind w:right="640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1：用工类</w:t>
      </w:r>
    </w:p>
    <w:p>
      <w:pPr>
        <w:spacing w:line="400" w:lineRule="exact"/>
        <w:jc w:val="right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 含税单价：元</w:t>
      </w:r>
    </w:p>
    <w:tbl>
      <w:tblPr>
        <w:tblStyle w:val="4"/>
        <w:tblW w:w="89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9"/>
        <w:gridCol w:w="3137"/>
        <w:gridCol w:w="1438"/>
        <w:gridCol w:w="1609"/>
        <w:gridCol w:w="1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69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序号</w:t>
            </w:r>
          </w:p>
        </w:tc>
        <w:tc>
          <w:tcPr>
            <w:tcW w:w="3137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项目</w:t>
            </w:r>
          </w:p>
        </w:tc>
        <w:tc>
          <w:tcPr>
            <w:tcW w:w="1438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单位</w:t>
            </w:r>
          </w:p>
        </w:tc>
        <w:tc>
          <w:tcPr>
            <w:tcW w:w="1609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金额</w:t>
            </w:r>
          </w:p>
        </w:tc>
        <w:tc>
          <w:tcPr>
            <w:tcW w:w="1789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临时用工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工日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220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劳务用工（技术工）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工日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350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钢筋工、电焊工等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>
      <w:pPr>
        <w:ind w:right="640"/>
        <w:rPr>
          <w:rFonts w:ascii="宋体" w:hAnsi="宋体" w:cs="宋体"/>
          <w:color w:val="000000"/>
          <w:sz w:val="24"/>
        </w:rPr>
      </w:pPr>
    </w:p>
    <w:p>
      <w:pPr>
        <w:ind w:right="640"/>
        <w:rPr>
          <w:rFonts w:ascii="宋体" w:hAnsi="宋体" w:cs="宋体"/>
          <w:color w:val="000000"/>
          <w:sz w:val="24"/>
        </w:rPr>
      </w:pPr>
    </w:p>
    <w:p>
      <w:pPr>
        <w:ind w:right="640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2：挖机类</w:t>
      </w:r>
    </w:p>
    <w:p>
      <w:pPr>
        <w:spacing w:line="400" w:lineRule="exact"/>
        <w:jc w:val="right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 含税单价：元</w:t>
      </w:r>
    </w:p>
    <w:tbl>
      <w:tblPr>
        <w:tblStyle w:val="4"/>
        <w:tblW w:w="89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9"/>
        <w:gridCol w:w="3137"/>
        <w:gridCol w:w="1438"/>
        <w:gridCol w:w="1609"/>
        <w:gridCol w:w="1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69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序号</w:t>
            </w:r>
          </w:p>
        </w:tc>
        <w:tc>
          <w:tcPr>
            <w:tcW w:w="3137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项目</w:t>
            </w:r>
          </w:p>
        </w:tc>
        <w:tc>
          <w:tcPr>
            <w:tcW w:w="1438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单位</w:t>
            </w:r>
          </w:p>
        </w:tc>
        <w:tc>
          <w:tcPr>
            <w:tcW w:w="1609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金额</w:t>
            </w:r>
          </w:p>
        </w:tc>
        <w:tc>
          <w:tcPr>
            <w:tcW w:w="1789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80型号挖机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小时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150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220型号挖机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小时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250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80型号捣机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小时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200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220型号捣机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小时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sz w:val="24"/>
              </w:rPr>
              <w:t>50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小型挖掘机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小时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150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>
      <w:pPr>
        <w:ind w:right="640"/>
        <w:rPr>
          <w:rFonts w:ascii="宋体" w:hAnsi="宋体" w:cs="宋体"/>
          <w:color w:val="000000"/>
          <w:sz w:val="24"/>
        </w:rPr>
      </w:pPr>
    </w:p>
    <w:p>
      <w:pPr>
        <w:ind w:right="640"/>
        <w:rPr>
          <w:rFonts w:ascii="宋体" w:hAnsi="宋体" w:cs="宋体"/>
          <w:color w:val="000000"/>
          <w:sz w:val="24"/>
        </w:rPr>
      </w:pPr>
    </w:p>
    <w:p>
      <w:pPr>
        <w:ind w:right="640"/>
        <w:rPr>
          <w:rFonts w:ascii="宋体" w:hAnsi="宋体" w:cs="宋体"/>
          <w:color w:val="000000"/>
          <w:sz w:val="24"/>
        </w:rPr>
      </w:pPr>
    </w:p>
    <w:p>
      <w:pPr>
        <w:ind w:right="640"/>
        <w:rPr>
          <w:rFonts w:hint="eastAsia"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3：土建类</w:t>
      </w:r>
    </w:p>
    <w:p>
      <w:pPr>
        <w:pStyle w:val="2"/>
      </w:pPr>
    </w:p>
    <w:tbl>
      <w:tblPr>
        <w:tblStyle w:val="3"/>
        <w:tblpPr w:leftFromText="180" w:rightFromText="180" w:vertAnchor="text" w:horzAnchor="page" w:tblpX="803" w:tblpY="342"/>
        <w:tblOverlap w:val="never"/>
        <w:tblW w:w="10066" w:type="dxa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716"/>
        <w:gridCol w:w="1230"/>
        <w:gridCol w:w="5550"/>
        <w:gridCol w:w="645"/>
        <w:gridCol w:w="555"/>
        <w:gridCol w:w="1370"/>
      </w:tblGrid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78" w:hRule="atLeast"/>
        </w:trPr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序号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项目名称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规格（宽×深）或（长×宽×深）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单位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数量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单价：元</w:t>
            </w:r>
          </w:p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（含税）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电缆明沟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500×500 无角铁包边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米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340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500×500 ∠60×6角铁单包边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米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600×650 无角铁包边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米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370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600×600 ∠60×6角铁单包边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米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580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800×850 无角铁包边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米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550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800×850 ∠50×5角铁双包边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米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760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1200×900 ∠75×50×5角铁单包边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米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1000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电缆井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700×700×600 无角铁包边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800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1000×1000×900 角铁双包边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1750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1200×1200×1100 角铁双包边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sz w:val="24"/>
              </w:rPr>
              <w:t>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1500×1500×1100 角铁双包边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000000"/>
                <w:sz w:val="24"/>
              </w:rPr>
              <w:t>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2000×2000×1300  角铁双包边，含梁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sz w:val="24"/>
              </w:rPr>
              <w:t>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2500×2500×1300  角铁双包边，含梁、盖板15cm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sz w:val="24"/>
              </w:rPr>
              <w:t>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3000×3000×1300  角铁双包边，含梁、盖板15cm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color w:val="000000"/>
                <w:sz w:val="24"/>
              </w:rPr>
              <w:t>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井内填砂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200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985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高压分线箱基础</w:t>
            </w:r>
          </w:p>
        </w:tc>
        <w:tc>
          <w:tcPr>
            <w:tcW w:w="5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附井，角铁包边(为肘头式、落地式断路器基础)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参照电缆井单价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低压分线箱基础</w:t>
            </w:r>
          </w:p>
        </w:tc>
        <w:tc>
          <w:tcPr>
            <w:tcW w:w="5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附井，角铁包边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参照电缆井单价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15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浆砌块石</w:t>
            </w:r>
          </w:p>
        </w:tc>
        <w:tc>
          <w:tcPr>
            <w:tcW w:w="55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护墩、挡土墙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480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15" w:hRule="atLeast"/>
        </w:trPr>
        <w:tc>
          <w:tcPr>
            <w:tcW w:w="7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6</w:t>
            </w:r>
          </w:p>
        </w:tc>
        <w:tc>
          <w:tcPr>
            <w:tcW w:w="123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素混基础</w:t>
            </w:r>
          </w:p>
        </w:tc>
        <w:tc>
          <w:tcPr>
            <w:tcW w:w="55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基础垫层、护壁、护墩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800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15" w:hRule="atLeast"/>
        </w:trPr>
        <w:tc>
          <w:tcPr>
            <w:tcW w:w="716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变压器操作平台、杯口、素混基础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850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15" w:hRule="atLeast"/>
        </w:trPr>
        <w:tc>
          <w:tcPr>
            <w:tcW w:w="71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电缆沟垫层、包封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40" w:hRule="atLeast"/>
        </w:trPr>
        <w:tc>
          <w:tcPr>
            <w:tcW w:w="7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7</w:t>
            </w:r>
          </w:p>
        </w:tc>
        <w:tc>
          <w:tcPr>
            <w:tcW w:w="12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钢混基础</w:t>
            </w:r>
          </w:p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1.钢管塔钢混基础（含基础土方开挖、钢筋购买运输及制作、混凝土搅拌及制作、地脚螺栓的运输加工及安装、现场安全防护措施、基础周期内养护、接地装置的埋设、混凝土二次运输）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基价：1280</w:t>
            </w:r>
          </w:p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（15km以内执行基价；15km以上每km增加1元/m3)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3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四角塔钢混基础（含基础土方开挖、钢筋购买运输及制作、混凝土搅拌及制作、地脚螺栓的运输加工及安装、现场安全防护措施、基础周期内养护、接地装置的埋设、余土外运）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autoSpaceDN w:val="0"/>
              <w:spacing w:line="400" w:lineRule="exac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基价：1300</w:t>
            </w:r>
          </w:p>
          <w:p>
            <w:pPr>
              <w:autoSpaceDN w:val="0"/>
              <w:spacing w:line="400" w:lineRule="exac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（15km以内执行基价；15km以上每km增加1元/m3)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3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余土外运（城区）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75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3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余土外运（郊区、乡镇）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3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石方调整（坚石：用风镐方法开挖）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3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石方调整（坚石：用空压机方法开挖）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3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石方调整（坚石：用人工开挖）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3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1.21 混凝土二次人力运输（50～200米）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115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3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1.22 混凝土二次人力运输（200～500米）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170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3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1.23 混凝土二次人力运输（500～1000米）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350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35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1.24 混凝土二次人力运输（1000米以上）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35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1.25 混凝土二次骡马运输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市场价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35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1.31 开挖施工便道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项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按降方执行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35" w:hRule="atLeast"/>
        </w:trPr>
        <w:tc>
          <w:tcPr>
            <w:tcW w:w="7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8</w:t>
            </w:r>
          </w:p>
        </w:tc>
        <w:tc>
          <w:tcPr>
            <w:tcW w:w="12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保护帽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钢管塔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35" w:hRule="atLeast"/>
        </w:trPr>
        <w:tc>
          <w:tcPr>
            <w:tcW w:w="71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四角塔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0" w:hRule="atLeast"/>
        </w:trPr>
        <w:tc>
          <w:tcPr>
            <w:tcW w:w="716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9</w:t>
            </w:r>
          </w:p>
        </w:tc>
        <w:tc>
          <w:tcPr>
            <w:tcW w:w="123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降方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人工降土方（普通土、松砂石、泥水坑、坚土）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25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50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人工降石方（次坚石、普坚石）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10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挖机、捣机降土方、石方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台班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市场价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25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挖机、捣机平板费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趟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市场价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40" w:hRule="atLeast"/>
        </w:trPr>
        <w:tc>
          <w:tcPr>
            <w:tcW w:w="716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10</w:t>
            </w:r>
          </w:p>
        </w:tc>
        <w:tc>
          <w:tcPr>
            <w:tcW w:w="123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普杆杆洞(无底卡盘/有底卡盘)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土方（普通土、松砂石、泥水坑、坚土）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160/220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40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石方（次坚石、普坚石）、流沙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180/250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11</w:t>
            </w:r>
          </w:p>
        </w:tc>
        <w:tc>
          <w:tcPr>
            <w:tcW w:w="123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欧变基础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砖砌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 xml:space="preserve">   4000</w:t>
            </w:r>
            <w:r>
              <w:rPr>
                <w:rFonts w:hint="eastAsia" w:ascii="宋体" w:hAnsi="宋体" w:cs="宋体"/>
                <w:color w:val="000000"/>
                <w:sz w:val="24"/>
              </w:rPr>
              <w:t>×2200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 xml:space="preserve"> 按实际尺寸调整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13000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混凝土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4000×2200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 xml:space="preserve"> 按实际尺寸调整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sz w:val="24"/>
              </w:rPr>
              <w:t>000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12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户内油变基础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1000×1000×1200 设备基座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2480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1200×1200×1200 设备基座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3000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1500×1500×1200 设备基座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3300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13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水泥路面破除及恢复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水泥路面破除（300mm及以内）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水泥路面恢复（300mm及以内）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150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水泥路面恢复（300mm以上）按素混计算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850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14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开闭所</w:t>
            </w:r>
          </w:p>
        </w:tc>
        <w:tc>
          <w:tcPr>
            <w:tcW w:w="5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二进四出开闭所4200*3500(砖砌)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6500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15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开闭所</w:t>
            </w:r>
          </w:p>
        </w:tc>
        <w:tc>
          <w:tcPr>
            <w:tcW w:w="5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二进六出开闭所6600*3500(砖砌)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8000</w:t>
            </w:r>
          </w:p>
        </w:tc>
      </w:tr>
    </w:tbl>
    <w:p>
      <w:pPr>
        <w:ind w:right="640"/>
        <w:rPr>
          <w:rFonts w:ascii="宋体" w:hAnsi="宋体" w:cs="宋体"/>
          <w:color w:val="000000"/>
          <w:sz w:val="24"/>
        </w:rPr>
      </w:pPr>
    </w:p>
    <w:p>
      <w:pPr>
        <w:ind w:right="640"/>
        <w:rPr>
          <w:rFonts w:ascii="宋体" w:hAnsi="宋体" w:cs="宋体"/>
          <w:color w:val="000000"/>
          <w:sz w:val="24"/>
        </w:rPr>
      </w:pPr>
    </w:p>
    <w:p>
      <w:pPr>
        <w:ind w:right="640"/>
        <w:rPr>
          <w:rFonts w:ascii="宋体" w:hAnsi="宋体" w:cs="宋体"/>
          <w:color w:val="000000"/>
          <w:sz w:val="24"/>
        </w:rPr>
      </w:pPr>
    </w:p>
    <w:p>
      <w:pPr>
        <w:ind w:right="640"/>
        <w:rPr>
          <w:rFonts w:ascii="宋体" w:hAnsi="宋体" w:cs="宋体"/>
          <w:color w:val="000000"/>
          <w:sz w:val="24"/>
        </w:rPr>
      </w:pPr>
    </w:p>
    <w:p>
      <w:pPr>
        <w:ind w:right="640"/>
        <w:rPr>
          <w:rFonts w:ascii="宋体" w:hAnsi="宋体" w:cs="宋体"/>
          <w:color w:val="000000"/>
          <w:sz w:val="24"/>
        </w:rPr>
      </w:pPr>
    </w:p>
    <w:p>
      <w:pPr>
        <w:ind w:right="640"/>
        <w:rPr>
          <w:rFonts w:ascii="宋体" w:hAnsi="宋体" w:cs="宋体"/>
          <w:color w:val="000000"/>
          <w:sz w:val="24"/>
        </w:rPr>
      </w:pPr>
    </w:p>
    <w:p>
      <w:pPr>
        <w:ind w:right="640"/>
        <w:rPr>
          <w:rFonts w:ascii="宋体" w:hAnsi="宋体" w:cs="宋体"/>
          <w:color w:val="000000"/>
          <w:sz w:val="24"/>
        </w:rPr>
      </w:pPr>
    </w:p>
    <w:p>
      <w:pPr>
        <w:ind w:right="640"/>
        <w:rPr>
          <w:rFonts w:ascii="宋体" w:hAnsi="宋体" w:cs="宋体"/>
          <w:color w:val="000000"/>
          <w:sz w:val="24"/>
        </w:rPr>
      </w:pPr>
    </w:p>
    <w:p>
      <w:pPr>
        <w:ind w:right="640"/>
        <w:rPr>
          <w:rFonts w:ascii="宋体" w:hAnsi="宋体" w:cs="宋体"/>
          <w:color w:val="000000"/>
          <w:sz w:val="24"/>
        </w:rPr>
      </w:pPr>
    </w:p>
    <w:p>
      <w:pPr>
        <w:ind w:right="640"/>
        <w:rPr>
          <w:rFonts w:ascii="宋体" w:hAnsi="宋体" w:cs="宋体"/>
          <w:color w:val="000000"/>
          <w:sz w:val="24"/>
        </w:rPr>
      </w:pPr>
    </w:p>
    <w:tbl>
      <w:tblPr>
        <w:tblStyle w:val="3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8"/>
        <w:gridCol w:w="2865"/>
        <w:gridCol w:w="1725"/>
        <w:gridCol w:w="900"/>
        <w:gridCol w:w="1418"/>
        <w:gridCol w:w="847"/>
        <w:gridCol w:w="11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8440" w:type="dxa"/>
            <w:gridSpan w:val="7"/>
            <w:vAlign w:val="center"/>
          </w:tcPr>
          <w:p>
            <w:pPr>
              <w:ind w:right="640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ind w:right="640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ind w:right="640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ind w:right="640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ind w:right="640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ind w:right="640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ind w:right="640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ind w:right="640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ind w:right="640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ind w:right="640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ind w:right="640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</w:rPr>
              <w:t>4：含挖、填电缆沟土方及保护管敷设类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7" w:type="dxa"/>
          <w:trHeight w:val="51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名称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规  格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单位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含税单价:元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备 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7" w:type="dxa"/>
          <w:trHeight w:val="51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8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碳素管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/CPVC管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敷设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(管径φ200以内，含挖填电缆沟土方)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1-2根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7" w:type="dxa"/>
          <w:trHeight w:val="51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3-4根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7" w:type="dxa"/>
          <w:trHeight w:val="51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2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5-7根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7" w:type="dxa"/>
          <w:trHeight w:val="51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2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8-10根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7" w:type="dxa"/>
          <w:trHeight w:val="51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2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11-12根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7" w:type="dxa"/>
          <w:trHeight w:val="51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28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13-15根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7" w:type="dxa"/>
          <w:trHeight w:val="51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钢管敷设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单长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7" w:type="dxa"/>
          <w:trHeight w:val="51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接地敷设（接地沟挖填、母线敷设、打桩，不含焊接）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7" w:type="dxa"/>
          <w:trHeight w:val="51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预埋标志桩、标志砖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>
      <w:pPr>
        <w:tabs>
          <w:tab w:val="left" w:pos="676"/>
        </w:tabs>
        <w:jc w:val="left"/>
        <w:rPr>
          <w:rFonts w:ascii="宋体" w:hAnsi="宋体" w:cs="宋体"/>
          <w:color w:val="000000"/>
          <w:sz w:val="24"/>
        </w:rPr>
      </w:pPr>
    </w:p>
    <w:p>
      <w:pPr>
        <w:tabs>
          <w:tab w:val="left" w:pos="676"/>
        </w:tabs>
        <w:jc w:val="left"/>
        <w:rPr>
          <w:rFonts w:ascii="宋体" w:hAnsi="宋体" w:cs="宋体"/>
          <w:color w:val="000000"/>
          <w:sz w:val="24"/>
        </w:rPr>
      </w:pPr>
    </w:p>
    <w:p>
      <w:pPr>
        <w:tabs>
          <w:tab w:val="left" w:pos="676"/>
        </w:tabs>
        <w:jc w:val="left"/>
        <w:rPr>
          <w:rFonts w:ascii="宋体" w:hAnsi="宋体" w:cs="宋体"/>
          <w:color w:val="000000"/>
          <w:sz w:val="24"/>
        </w:rPr>
      </w:pPr>
    </w:p>
    <w:p>
      <w:pPr>
        <w:tabs>
          <w:tab w:val="left" w:pos="676"/>
        </w:tabs>
        <w:jc w:val="left"/>
        <w:rPr>
          <w:rFonts w:ascii="宋体" w:hAnsi="宋体" w:cs="宋体"/>
          <w:color w:val="000000"/>
          <w:sz w:val="24"/>
        </w:rPr>
      </w:pPr>
    </w:p>
    <w:p>
      <w:pPr>
        <w:tabs>
          <w:tab w:val="left" w:pos="676"/>
        </w:tabs>
        <w:jc w:val="left"/>
        <w:rPr>
          <w:rFonts w:ascii="宋体" w:hAnsi="宋体" w:cs="宋体"/>
          <w:color w:val="000000"/>
          <w:sz w:val="24"/>
        </w:rPr>
      </w:pPr>
    </w:p>
    <w:p>
      <w:pPr>
        <w:tabs>
          <w:tab w:val="left" w:pos="676"/>
        </w:tabs>
        <w:jc w:val="left"/>
        <w:rPr>
          <w:rFonts w:ascii="宋体" w:hAnsi="宋体" w:cs="宋体"/>
          <w:color w:val="000000"/>
          <w:sz w:val="24"/>
        </w:rPr>
      </w:pPr>
    </w:p>
    <w:p>
      <w:pPr>
        <w:tabs>
          <w:tab w:val="left" w:pos="676"/>
        </w:tabs>
        <w:jc w:val="left"/>
        <w:rPr>
          <w:rFonts w:ascii="宋体" w:hAnsi="宋体" w:cs="宋体"/>
          <w:color w:val="000000"/>
          <w:sz w:val="24"/>
        </w:rPr>
      </w:pPr>
    </w:p>
    <w:p>
      <w:pPr>
        <w:tabs>
          <w:tab w:val="left" w:pos="676"/>
        </w:tabs>
        <w:jc w:val="left"/>
        <w:rPr>
          <w:rFonts w:ascii="宋体" w:hAnsi="宋体" w:cs="宋体"/>
          <w:color w:val="000000"/>
          <w:sz w:val="24"/>
        </w:rPr>
      </w:pPr>
    </w:p>
    <w:p>
      <w:pPr>
        <w:tabs>
          <w:tab w:val="left" w:pos="676"/>
        </w:tabs>
        <w:jc w:val="left"/>
        <w:rPr>
          <w:rFonts w:ascii="宋体" w:hAnsi="宋体" w:cs="宋体"/>
          <w:color w:val="000000"/>
          <w:sz w:val="24"/>
        </w:rPr>
      </w:pPr>
    </w:p>
    <w:p>
      <w:pPr>
        <w:tabs>
          <w:tab w:val="left" w:pos="676"/>
        </w:tabs>
        <w:jc w:val="left"/>
        <w:rPr>
          <w:rFonts w:ascii="宋体" w:hAnsi="宋体" w:cs="宋体"/>
          <w:color w:val="000000"/>
          <w:sz w:val="24"/>
        </w:rPr>
      </w:pPr>
    </w:p>
    <w:p>
      <w:pPr>
        <w:tabs>
          <w:tab w:val="left" w:pos="676"/>
        </w:tabs>
        <w:jc w:val="left"/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5：封堵(含材料费)类</w:t>
      </w:r>
    </w:p>
    <w:tbl>
      <w:tblPr>
        <w:tblStyle w:val="3"/>
        <w:tblpPr w:leftFromText="180" w:rightFromText="180" w:vertAnchor="text" w:horzAnchor="page" w:tblpX="1917" w:tblpY="193"/>
        <w:tblOverlap w:val="never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8"/>
        <w:gridCol w:w="1990"/>
        <w:gridCol w:w="2190"/>
        <w:gridCol w:w="1034"/>
        <w:gridCol w:w="25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序号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名称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型号</w:t>
            </w: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数量</w:t>
            </w:r>
          </w:p>
        </w:tc>
        <w:tc>
          <w:tcPr>
            <w:tcW w:w="2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含税单价：元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</w:t>
            </w:r>
          </w:p>
        </w:tc>
        <w:tc>
          <w:tcPr>
            <w:tcW w:w="199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电缆沟防火墙</w:t>
            </w: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200*400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800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500*400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1000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3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500*600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1800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4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600*600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2200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5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600*700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6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700*700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2200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7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800*600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2300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8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800*700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9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800*800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2500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10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1000*600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2500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11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1000*700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2600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12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1000*800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2800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13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1000*900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2900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14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1000*1000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3000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15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1300*1200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3500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16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端子箱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只</w:t>
            </w:r>
          </w:p>
        </w:tc>
        <w:tc>
          <w:tcPr>
            <w:tcW w:w="2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17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保护屏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台</w:t>
            </w:r>
          </w:p>
        </w:tc>
        <w:tc>
          <w:tcPr>
            <w:tcW w:w="2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18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开关柜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台</w:t>
            </w:r>
          </w:p>
        </w:tc>
        <w:tc>
          <w:tcPr>
            <w:tcW w:w="2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19</w:t>
            </w:r>
          </w:p>
        </w:tc>
        <w:tc>
          <w:tcPr>
            <w:tcW w:w="19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管口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直径Φ150以内</w:t>
            </w: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处</w:t>
            </w:r>
          </w:p>
        </w:tc>
        <w:tc>
          <w:tcPr>
            <w:tcW w:w="2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20</w:t>
            </w:r>
          </w:p>
        </w:tc>
        <w:tc>
          <w:tcPr>
            <w:tcW w:w="1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直径Φ150及以上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处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21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封堵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（配电房、高低压柜、变电站等）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间隔</w:t>
            </w:r>
          </w:p>
        </w:tc>
        <w:tc>
          <w:tcPr>
            <w:tcW w:w="2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22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防凝露、防闪络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（配电房、高低压柜、变电站等）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平方</w:t>
            </w:r>
          </w:p>
        </w:tc>
        <w:tc>
          <w:tcPr>
            <w:tcW w:w="2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3600</w:t>
            </w:r>
          </w:p>
        </w:tc>
      </w:tr>
    </w:tbl>
    <w:p>
      <w:pPr>
        <w:tabs>
          <w:tab w:val="left" w:pos="676"/>
        </w:tabs>
        <w:jc w:val="left"/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sz w:val="24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pStyle w:val="2"/>
        <w:rPr>
          <w:lang w:val="en-US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ind w:right="64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6：围栏及桥架</w:t>
      </w:r>
    </w:p>
    <w:p>
      <w:pPr>
        <w:spacing w:line="400" w:lineRule="exact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含税单价：元</w:t>
      </w:r>
    </w:p>
    <w:tbl>
      <w:tblPr>
        <w:tblStyle w:val="4"/>
        <w:tblW w:w="89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9"/>
        <w:gridCol w:w="3137"/>
        <w:gridCol w:w="1438"/>
        <w:gridCol w:w="1609"/>
        <w:gridCol w:w="1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69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3137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</w:t>
            </w:r>
          </w:p>
        </w:tc>
        <w:tc>
          <w:tcPr>
            <w:tcW w:w="1438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单位</w:t>
            </w:r>
          </w:p>
        </w:tc>
        <w:tc>
          <w:tcPr>
            <w:tcW w:w="1609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金额</w:t>
            </w:r>
          </w:p>
        </w:tc>
        <w:tc>
          <w:tcPr>
            <w:tcW w:w="1789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不锈钢围栏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M2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120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木质</w:t>
            </w:r>
            <w:r>
              <w:rPr>
                <w:rFonts w:hint="eastAsia" w:ascii="宋体" w:hAnsi="宋体" w:cs="宋体"/>
                <w:sz w:val="24"/>
              </w:rPr>
              <w:t>围栏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M2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70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箱变围栏带挑板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M2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180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PVC围栏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M2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140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100*100桥架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米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90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200*100桥架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米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116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300*100桥架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米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155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8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400*200桥架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米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248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9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600*200桥架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米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360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10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挡鼠板（不锈钢材质）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M2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450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11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门窗及大门制作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参照市场价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</w:tr>
    </w:tbl>
    <w:p>
      <w:pPr>
        <w:ind w:right="640"/>
        <w:rPr>
          <w:rFonts w:ascii="宋体" w:hAnsi="宋体" w:cs="宋体"/>
          <w:sz w:val="24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pStyle w:val="2"/>
        <w:rPr>
          <w:rFonts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bidi="ar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pStyle w:val="2"/>
        <w:rPr>
          <w:rFonts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bidi="ar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pStyle w:val="2"/>
        <w:rPr>
          <w:rFonts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bidi="ar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widowControl/>
        <w:textAlignment w:val="center"/>
        <w:rPr>
          <w:rFonts w:ascii="华文中宋" w:hAnsi="华文中宋" w:eastAsia="华文中宋" w:cs="华文中宋"/>
          <w:b/>
          <w:bCs/>
          <w:kern w:val="0"/>
          <w:sz w:val="32"/>
          <w:szCs w:val="32"/>
          <w:lang w:bidi="ar"/>
        </w:rPr>
      </w:pPr>
      <w:r>
        <w:rPr>
          <w:rFonts w:hint="eastAsia" w:ascii="华文中宋" w:hAnsi="华文中宋" w:eastAsia="华文中宋" w:cs="华文中宋"/>
          <w:b/>
          <w:bCs/>
          <w:kern w:val="0"/>
          <w:sz w:val="32"/>
          <w:szCs w:val="32"/>
          <w:lang w:bidi="ar"/>
        </w:rPr>
        <w:t>附件三：</w:t>
      </w: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ind w:right="640"/>
        <w:jc w:val="center"/>
        <w:rPr>
          <w:rFonts w:ascii="华文中宋" w:hAnsi="华文中宋" w:eastAsia="华文中宋" w:cs="华文中宋"/>
          <w:b/>
          <w:bCs/>
          <w:kern w:val="0"/>
          <w:sz w:val="32"/>
          <w:szCs w:val="32"/>
          <w:lang w:bidi="ar"/>
        </w:rPr>
      </w:pPr>
      <w:r>
        <w:rPr>
          <w:rFonts w:hint="eastAsia" w:ascii="华文中宋" w:hAnsi="华文中宋" w:eastAsia="华文中宋" w:cs="华文中宋"/>
          <w:b/>
          <w:bCs/>
          <w:kern w:val="0"/>
          <w:sz w:val="32"/>
          <w:szCs w:val="32"/>
          <w:lang w:val="en-US" w:eastAsia="zh-CN" w:bidi="ar"/>
        </w:rPr>
        <w:t>2024</w:t>
      </w:r>
      <w:r>
        <w:rPr>
          <w:rFonts w:hint="eastAsia" w:ascii="华文中宋" w:hAnsi="华文中宋" w:eastAsia="华文中宋" w:cs="华文中宋"/>
          <w:b/>
          <w:bCs/>
          <w:kern w:val="0"/>
          <w:sz w:val="32"/>
          <w:szCs w:val="32"/>
          <w:lang w:bidi="ar"/>
        </w:rPr>
        <w:t>年度顶管施工协议单价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>
            <w:pPr>
              <w:tabs>
                <w:tab w:val="left" w:pos="676"/>
              </w:tabs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eastAsia="zh-CN"/>
              </w:rPr>
              <w:t>管径（</w:t>
            </w:r>
            <w:r>
              <w:rPr>
                <w:rFonts w:hint="eastAsia" w:ascii="宋体" w:hAnsi="宋体" w:cs="宋体"/>
                <w:sz w:val="24"/>
                <w:vertAlign w:val="baseline"/>
                <w:lang w:val="en-US" w:eastAsia="zh-CN"/>
              </w:rPr>
              <w:t>mm</w:t>
            </w:r>
            <w:r>
              <w:rPr>
                <w:rFonts w:hint="eastAsia" w:ascii="宋体" w:hAnsi="宋体" w:cs="宋体"/>
                <w:sz w:val="24"/>
                <w:vertAlign w:val="baseline"/>
                <w:lang w:eastAsia="zh-CN"/>
              </w:rPr>
              <w:t>）</w:t>
            </w:r>
          </w:p>
        </w:tc>
        <w:tc>
          <w:tcPr>
            <w:tcW w:w="2841" w:type="dxa"/>
            <w:vAlign w:val="center"/>
          </w:tcPr>
          <w:p>
            <w:pPr>
              <w:tabs>
                <w:tab w:val="left" w:pos="676"/>
              </w:tabs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eastAsia="zh-CN"/>
              </w:rPr>
              <w:t>地质情况</w:t>
            </w:r>
          </w:p>
        </w:tc>
        <w:tc>
          <w:tcPr>
            <w:tcW w:w="2841" w:type="dxa"/>
            <w:vAlign w:val="center"/>
          </w:tcPr>
          <w:p>
            <w:pPr>
              <w:tabs>
                <w:tab w:val="left" w:pos="676"/>
              </w:tabs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eastAsia="zh-CN"/>
              </w:rPr>
              <w:t>含税单价：元</w:t>
            </w:r>
            <w:r>
              <w:rPr>
                <w:rFonts w:hint="eastAsia" w:ascii="宋体" w:hAnsi="宋体" w:cs="宋体"/>
                <w:sz w:val="24"/>
                <w:vertAlign w:val="baseline"/>
                <w:lang w:val="en-US" w:eastAsia="zh-CN"/>
              </w:rPr>
              <w:t>/m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restart"/>
            <w:vAlign w:val="center"/>
          </w:tcPr>
          <w:p>
            <w:pPr>
              <w:tabs>
                <w:tab w:val="left" w:pos="676"/>
              </w:tabs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eastAsia="zh-CN"/>
              </w:rPr>
              <w:t>Φ</w:t>
            </w:r>
            <w:r>
              <w:rPr>
                <w:rFonts w:hint="eastAsia" w:ascii="宋体" w:hAnsi="宋体" w:cs="宋体"/>
                <w:sz w:val="24"/>
                <w:vertAlign w:val="baseline"/>
                <w:lang w:val="en-US" w:eastAsia="zh-CN"/>
              </w:rPr>
              <w:t>200</w:t>
            </w:r>
          </w:p>
        </w:tc>
        <w:tc>
          <w:tcPr>
            <w:tcW w:w="2841" w:type="dxa"/>
            <w:vAlign w:val="center"/>
          </w:tcPr>
          <w:p>
            <w:pPr>
              <w:tabs>
                <w:tab w:val="left" w:pos="676"/>
              </w:tabs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eastAsia="zh-CN"/>
              </w:rPr>
              <w:t>土层、土石混合物等</w:t>
            </w:r>
          </w:p>
        </w:tc>
        <w:tc>
          <w:tcPr>
            <w:tcW w:w="2841" w:type="dxa"/>
            <w:vAlign w:val="center"/>
          </w:tcPr>
          <w:p>
            <w:pPr>
              <w:tabs>
                <w:tab w:val="left" w:pos="676"/>
              </w:tabs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val="en-US" w:eastAsia="zh-CN"/>
              </w:rPr>
              <w:t>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continue"/>
            <w:vAlign w:val="center"/>
          </w:tcPr>
          <w:p>
            <w:pPr>
              <w:tabs>
                <w:tab w:val="left" w:pos="676"/>
              </w:tabs>
              <w:spacing w:line="400" w:lineRule="exact"/>
              <w:jc w:val="center"/>
              <w:rPr>
                <w:rFonts w:ascii="宋体" w:hAnsi="宋体" w:cs="宋体"/>
                <w:sz w:val="24"/>
                <w:vertAlign w:val="baseline"/>
              </w:rPr>
            </w:pPr>
          </w:p>
        </w:tc>
        <w:tc>
          <w:tcPr>
            <w:tcW w:w="2841" w:type="dxa"/>
            <w:vAlign w:val="center"/>
          </w:tcPr>
          <w:p>
            <w:pPr>
              <w:tabs>
                <w:tab w:val="left" w:pos="676"/>
              </w:tabs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eastAsia="zh-CN"/>
              </w:rPr>
              <w:t>岩石、砂砾石</w:t>
            </w:r>
          </w:p>
        </w:tc>
        <w:tc>
          <w:tcPr>
            <w:tcW w:w="2841" w:type="dxa"/>
            <w:vAlign w:val="center"/>
          </w:tcPr>
          <w:p>
            <w:pPr>
              <w:tabs>
                <w:tab w:val="left" w:pos="676"/>
              </w:tabs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val="en-US" w:eastAsia="zh-CN"/>
              </w:rPr>
              <w:t>370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restart"/>
            <w:vAlign w:val="center"/>
          </w:tcPr>
          <w:p>
            <w:pPr>
              <w:tabs>
                <w:tab w:val="left" w:pos="676"/>
              </w:tabs>
              <w:spacing w:line="400" w:lineRule="exact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eastAsia="zh-CN"/>
              </w:rPr>
              <w:t>Φ</w:t>
            </w:r>
            <w:r>
              <w:rPr>
                <w:rFonts w:hint="eastAsia" w:ascii="宋体" w:hAnsi="宋体" w:cs="宋体"/>
                <w:sz w:val="24"/>
                <w:vertAlign w:val="baseline"/>
                <w:lang w:val="en-US" w:eastAsia="zh-CN"/>
              </w:rPr>
              <w:t>160</w:t>
            </w:r>
          </w:p>
        </w:tc>
        <w:tc>
          <w:tcPr>
            <w:tcW w:w="2841" w:type="dxa"/>
            <w:vAlign w:val="center"/>
          </w:tcPr>
          <w:p>
            <w:pPr>
              <w:tabs>
                <w:tab w:val="left" w:pos="676"/>
              </w:tabs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eastAsia="zh-CN"/>
              </w:rPr>
              <w:t>土层、土石混合物等</w:t>
            </w:r>
          </w:p>
        </w:tc>
        <w:tc>
          <w:tcPr>
            <w:tcW w:w="2841" w:type="dxa"/>
            <w:vAlign w:val="center"/>
          </w:tcPr>
          <w:p>
            <w:pPr>
              <w:tabs>
                <w:tab w:val="left" w:pos="676"/>
              </w:tabs>
              <w:spacing w:line="400" w:lineRule="exact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val="en-US" w:eastAsia="zh-CN"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continue"/>
            <w:vAlign w:val="center"/>
          </w:tcPr>
          <w:p>
            <w:pPr>
              <w:tabs>
                <w:tab w:val="left" w:pos="676"/>
              </w:tabs>
              <w:spacing w:line="400" w:lineRule="exact"/>
              <w:jc w:val="center"/>
              <w:rPr>
                <w:rFonts w:ascii="宋体" w:hAnsi="宋体" w:cs="宋体"/>
                <w:sz w:val="24"/>
                <w:vertAlign w:val="baseline"/>
              </w:rPr>
            </w:pPr>
          </w:p>
        </w:tc>
        <w:tc>
          <w:tcPr>
            <w:tcW w:w="2841" w:type="dxa"/>
            <w:vAlign w:val="center"/>
          </w:tcPr>
          <w:p>
            <w:pPr>
              <w:tabs>
                <w:tab w:val="left" w:pos="676"/>
              </w:tabs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eastAsia="zh-CN"/>
              </w:rPr>
              <w:t>岩石、砂砾石</w:t>
            </w:r>
          </w:p>
        </w:tc>
        <w:tc>
          <w:tcPr>
            <w:tcW w:w="2841" w:type="dxa"/>
            <w:vAlign w:val="center"/>
          </w:tcPr>
          <w:p>
            <w:pPr>
              <w:tabs>
                <w:tab w:val="left" w:pos="676"/>
              </w:tabs>
              <w:spacing w:line="400" w:lineRule="exact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  <w:t>30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restart"/>
            <w:vAlign w:val="center"/>
          </w:tcPr>
          <w:p>
            <w:pPr>
              <w:tabs>
                <w:tab w:val="left" w:pos="676"/>
              </w:tabs>
              <w:spacing w:line="400" w:lineRule="exact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eastAsia="zh-CN"/>
              </w:rPr>
              <w:t>Φ</w:t>
            </w:r>
            <w:r>
              <w:rPr>
                <w:rFonts w:hint="eastAsia" w:ascii="宋体" w:hAnsi="宋体" w:cs="宋体"/>
                <w:sz w:val="24"/>
                <w:vertAlign w:val="baseline"/>
                <w:lang w:val="en-US" w:eastAsia="zh-CN"/>
              </w:rPr>
              <w:t>110</w:t>
            </w:r>
          </w:p>
        </w:tc>
        <w:tc>
          <w:tcPr>
            <w:tcW w:w="2841" w:type="dxa"/>
            <w:vAlign w:val="center"/>
          </w:tcPr>
          <w:p>
            <w:pPr>
              <w:tabs>
                <w:tab w:val="left" w:pos="676"/>
              </w:tabs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eastAsia="zh-CN"/>
              </w:rPr>
              <w:t>土层、土石混合物等</w:t>
            </w:r>
          </w:p>
        </w:tc>
        <w:tc>
          <w:tcPr>
            <w:tcW w:w="2841" w:type="dxa"/>
            <w:vAlign w:val="center"/>
          </w:tcPr>
          <w:p>
            <w:pPr>
              <w:tabs>
                <w:tab w:val="left" w:pos="676"/>
              </w:tabs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val="en-US" w:eastAsia="zh-CN"/>
              </w:rPr>
              <w:t>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continue"/>
            <w:vAlign w:val="center"/>
          </w:tcPr>
          <w:p>
            <w:pPr>
              <w:tabs>
                <w:tab w:val="left" w:pos="676"/>
              </w:tabs>
              <w:spacing w:line="400" w:lineRule="exact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841" w:type="dxa"/>
            <w:vAlign w:val="center"/>
          </w:tcPr>
          <w:p>
            <w:pPr>
              <w:tabs>
                <w:tab w:val="left" w:pos="676"/>
              </w:tabs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eastAsia="zh-CN"/>
              </w:rPr>
              <w:t>岩石、砂砾石</w:t>
            </w:r>
          </w:p>
        </w:tc>
        <w:tc>
          <w:tcPr>
            <w:tcW w:w="2841" w:type="dxa"/>
            <w:vAlign w:val="center"/>
          </w:tcPr>
          <w:p>
            <w:pPr>
              <w:tabs>
                <w:tab w:val="left" w:pos="676"/>
              </w:tabs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  <w:t>200</w:t>
            </w:r>
          </w:p>
        </w:tc>
      </w:tr>
    </w:tbl>
    <w:p>
      <w:pPr>
        <w:tabs>
          <w:tab w:val="left" w:pos="676"/>
        </w:tabs>
        <w:spacing w:line="400" w:lineRule="exact"/>
        <w:ind w:firstLine="480" w:firstLineChars="200"/>
        <w:jc w:val="left"/>
        <w:rPr>
          <w:rFonts w:ascii="宋体" w:hAnsi="宋体" w:cs="宋体"/>
          <w:sz w:val="24"/>
        </w:rPr>
      </w:pPr>
    </w:p>
    <w:p>
      <w:pPr>
        <w:tabs>
          <w:tab w:val="left" w:pos="676"/>
        </w:tabs>
        <w:spacing w:line="400" w:lineRule="exact"/>
        <w:ind w:firstLine="480" w:firstLineChars="200"/>
        <w:jc w:val="left"/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</w:t>
      </w:r>
    </w:p>
    <w:p>
      <w:pPr>
        <w:tabs>
          <w:tab w:val="left" w:pos="838"/>
        </w:tabs>
        <w:spacing w:line="15" w:lineRule="auto"/>
        <w:jc w:val="left"/>
        <w:rPr>
          <w:rFonts w:ascii="宋体" w:hAnsi="宋体" w:cs="宋体"/>
          <w:sz w:val="24"/>
        </w:rPr>
      </w:pPr>
    </w:p>
    <w:p>
      <w:pPr>
        <w:jc w:val="right"/>
        <w:rPr>
          <w:rFonts w:ascii="宋体" w:hAnsi="宋体" w:cs="宋体"/>
          <w:sz w:val="24"/>
        </w:rPr>
      </w:pPr>
    </w:p>
    <w:p>
      <w:pPr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b/>
          <w:bCs/>
          <w:sz w:val="28"/>
          <w:szCs w:val="28"/>
        </w:rPr>
      </w:pPr>
    </w:p>
    <w:p>
      <w:pPr>
        <w:pStyle w:val="2"/>
        <w:rPr>
          <w:lang w:val="en-US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rPr>
          <w:rFonts w:ascii="宋体" w:hAnsi="宋体" w:cs="宋体"/>
          <w:b/>
          <w:color w:val="000000"/>
          <w:kern w:val="0"/>
          <w:sz w:val="24"/>
          <w:lang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mMzY0OTM0NjdlMmM5Y2ZlMGE0OGFlMmQ2OTMyOGIifQ=="/>
  </w:docVars>
  <w:rsids>
    <w:rsidRoot w:val="00694B6B"/>
    <w:rsid w:val="00694B6B"/>
    <w:rsid w:val="00BB22C1"/>
    <w:rsid w:val="00DA7107"/>
    <w:rsid w:val="056A39BA"/>
    <w:rsid w:val="07AD3521"/>
    <w:rsid w:val="0E1D0979"/>
    <w:rsid w:val="219F55E8"/>
    <w:rsid w:val="349A086E"/>
    <w:rsid w:val="4F0B08C1"/>
    <w:rsid w:val="4FA35A90"/>
    <w:rsid w:val="50553B8A"/>
    <w:rsid w:val="541C3FF8"/>
    <w:rsid w:val="557B05CC"/>
    <w:rsid w:val="65FE7137"/>
    <w:rsid w:val="719270B0"/>
    <w:rsid w:val="7A5A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1"/>
    <w:pPr>
      <w:spacing w:line="379" w:lineRule="exact"/>
      <w:ind w:left="2767"/>
      <w:outlineLvl w:val="1"/>
    </w:pPr>
    <w:rPr>
      <w:rFonts w:ascii="仿宋" w:hAnsi="仿宋" w:eastAsia="仿宋" w:cs="仿宋"/>
      <w:b/>
      <w:bCs/>
      <w:sz w:val="30"/>
      <w:szCs w:val="30"/>
      <w:lang w:val="zh-CN" w:bidi="zh-CN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2223</Words>
  <Characters>2993</Characters>
  <Lines>28</Lines>
  <Paragraphs>8</Paragraphs>
  <TotalTime>3</TotalTime>
  <ScaleCrop>false</ScaleCrop>
  <LinksUpToDate>false</LinksUpToDate>
  <CharactersWithSpaces>3034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2022-12-01T06:59:00Z</dcterms:created>
  <dc:creator>Administrator</dc:creator>
  <cp:lastModifiedBy>♥wenwen</cp:lastModifiedBy>
  <dcterms:modified xsi:type="dcterms:W3CDTF">2024-01-06T07:23:52Z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12241A1F7291468282882DAF1F3A16F1</vt:lpwstr>
  </property>
</Properties>
</file>