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宁国市埃米智能机器人有限公司0.2MW光伏发电项目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宁国市埃米智能机器人有限公司0.2MW光伏发电项目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宁国市埃米智能机器人有限公司0.2MW光伏发电项目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C95488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2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2023-12-27T03:04:04Z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