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</w:p>
    <w:p>
      <w:pPr>
        <w:pStyle w:val="2"/>
        <w:ind w:left="0"/>
      </w:pPr>
    </w:p>
    <w:p>
      <w:pPr>
        <w:widowControl/>
        <w:textAlignment w:val="center"/>
        <w:rPr>
          <w:rFonts w:ascii="华文中宋" w:hAnsi="华文中宋" w:eastAsia="华文中宋" w:cs="华文中宋"/>
          <w:b/>
          <w:bCs/>
          <w:kern w:val="0"/>
          <w:sz w:val="32"/>
          <w:szCs w:val="32"/>
          <w:lang w:bidi="ar"/>
        </w:rPr>
      </w:pP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附件一：</w:t>
      </w:r>
    </w:p>
    <w:tbl>
      <w:tblPr>
        <w:tblStyle w:val="3"/>
        <w:tblW w:w="999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581"/>
        <w:gridCol w:w="1555"/>
        <w:gridCol w:w="1250"/>
        <w:gridCol w:w="1337"/>
        <w:gridCol w:w="1527"/>
        <w:gridCol w:w="20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999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sz w:val="32"/>
                <w:szCs w:val="32"/>
              </w:rPr>
            </w:pPr>
            <w:r>
              <w:rPr>
                <w:rFonts w:ascii="华文中宋" w:hAnsi="华文中宋" w:eastAsia="华文中宋" w:cs="华文中宋"/>
                <w:b/>
                <w:bCs/>
                <w:kern w:val="0"/>
                <w:sz w:val="32"/>
                <w:szCs w:val="32"/>
                <w:lang w:bidi="ar"/>
              </w:rPr>
              <w:t>2022</w:t>
            </w:r>
            <w:r>
              <w:rPr>
                <w:rFonts w:hint="eastAsia" w:ascii="华文中宋" w:hAnsi="华文中宋" w:eastAsia="华文中宋" w:cs="华文中宋"/>
                <w:b/>
                <w:bCs/>
                <w:kern w:val="0"/>
                <w:sz w:val="32"/>
                <w:szCs w:val="32"/>
                <w:lang w:bidi="ar"/>
              </w:rPr>
              <w:t>-2023</w:t>
            </w:r>
            <w:r>
              <w:rPr>
                <w:rFonts w:ascii="华文中宋" w:hAnsi="华文中宋" w:eastAsia="华文中宋" w:cs="华文中宋"/>
                <w:b/>
                <w:bCs/>
                <w:kern w:val="0"/>
                <w:sz w:val="32"/>
                <w:szCs w:val="32"/>
                <w:lang w:bidi="ar"/>
              </w:rPr>
              <w:t>年度</w:t>
            </w:r>
            <w:r>
              <w:rPr>
                <w:rFonts w:hint="eastAsia" w:ascii="华文中宋" w:hAnsi="华文中宋" w:eastAsia="华文中宋" w:cs="华文中宋"/>
                <w:b/>
                <w:bCs/>
                <w:kern w:val="0"/>
                <w:sz w:val="32"/>
                <w:szCs w:val="32"/>
                <w:lang w:bidi="ar"/>
              </w:rPr>
              <w:t>电力</w:t>
            </w:r>
            <w:r>
              <w:rPr>
                <w:rFonts w:ascii="华文中宋" w:hAnsi="华文中宋" w:eastAsia="华文中宋" w:cs="华文中宋"/>
                <w:b/>
                <w:bCs/>
                <w:kern w:val="0"/>
                <w:sz w:val="32"/>
                <w:szCs w:val="32"/>
                <w:lang w:bidi="ar"/>
              </w:rPr>
              <w:t>工程</w:t>
            </w:r>
            <w:r>
              <w:rPr>
                <w:rFonts w:hint="eastAsia" w:ascii="华文中宋" w:hAnsi="华文中宋" w:eastAsia="华文中宋" w:cs="华文中宋"/>
                <w:b/>
                <w:bCs/>
                <w:kern w:val="0"/>
                <w:sz w:val="32"/>
                <w:szCs w:val="32"/>
                <w:lang w:bidi="ar"/>
              </w:rPr>
              <w:t>劳务</w:t>
            </w:r>
            <w:r>
              <w:rPr>
                <w:rFonts w:ascii="华文中宋" w:hAnsi="华文中宋" w:eastAsia="华文中宋" w:cs="华文中宋"/>
                <w:b/>
                <w:bCs/>
                <w:kern w:val="0"/>
                <w:sz w:val="32"/>
                <w:szCs w:val="32"/>
                <w:lang w:bidi="ar"/>
              </w:rPr>
              <w:t>分包</w:t>
            </w:r>
            <w:r>
              <w:rPr>
                <w:rFonts w:hint="eastAsia" w:ascii="华文中宋" w:hAnsi="华文中宋" w:eastAsia="华文中宋" w:cs="华文中宋"/>
                <w:b/>
                <w:bCs/>
                <w:kern w:val="0"/>
                <w:sz w:val="32"/>
                <w:szCs w:val="32"/>
                <w:lang w:bidi="ar"/>
              </w:rPr>
              <w:t>协议单价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项目单位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工程类别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结算方式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结算比例（百分比）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固定单价（元）</w:t>
            </w:r>
          </w:p>
        </w:tc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宁国供电公司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城农网工程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下浮率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80%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6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按甲方与项目单位施工费审定金额或决算金额下浮，如该工程在施工过程中安全、质量、进度、资料不能够满足甲方要求，则各按1%的结算比例给于扣减。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宣城供电公司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城农网工程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下浮率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78%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郎溪供电公司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城农网工程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下浮率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80%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用户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业扩项目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下浮率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  <w:t>82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%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集体企业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城农网工程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下浮率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%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建投集团及其子公司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电力工程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下浮率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85%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7</w:t>
            </w:r>
          </w:p>
        </w:tc>
        <w:tc>
          <w:tcPr>
            <w:tcW w:w="158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抢修项目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下浮率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%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8</w:t>
            </w:r>
          </w:p>
        </w:tc>
        <w:tc>
          <w:tcPr>
            <w:tcW w:w="15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柱上开关新装/更换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固定单价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4000</w:t>
            </w:r>
          </w:p>
        </w:tc>
        <w:tc>
          <w:tcPr>
            <w:tcW w:w="20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含该类工作涉及的辅助作业及机械等所有费用。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9</w:t>
            </w:r>
          </w:p>
        </w:tc>
        <w:tc>
          <w:tcPr>
            <w:tcW w:w="15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计量箱新装/更换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固定单价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4000</w:t>
            </w:r>
          </w:p>
        </w:tc>
        <w:tc>
          <w:tcPr>
            <w:tcW w:w="20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10</w:t>
            </w:r>
          </w:p>
        </w:tc>
        <w:tc>
          <w:tcPr>
            <w:tcW w:w="15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跌落保险新装/更换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固定单价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带电</w:t>
            </w:r>
            <w:r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  <w:t>30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00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停电</w:t>
            </w:r>
            <w:r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  <w:t>25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00</w:t>
            </w:r>
          </w:p>
        </w:tc>
        <w:tc>
          <w:tcPr>
            <w:tcW w:w="20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15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零星及帮忙用工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固定单价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400</w:t>
            </w:r>
          </w:p>
        </w:tc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工日单价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 w:eastAsiaTheme="minorEastAsia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15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5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 w:eastAsiaTheme="minorEastAsia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铁塔组立</w:t>
            </w:r>
          </w:p>
        </w:tc>
        <w:tc>
          <w:tcPr>
            <w:tcW w:w="12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固定单价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 w:eastAsiaTheme="minorEastAsia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2200元/T</w:t>
            </w:r>
          </w:p>
        </w:tc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 w:eastAsiaTheme="minorEastAsia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35kV及以下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5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2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2000元/T</w:t>
            </w:r>
          </w:p>
        </w:tc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110kV及以上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158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 w:eastAsiaTheme="minorEastAsia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城区表计安装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固定单价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 w:eastAsiaTheme="minorEastAsia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60元/块</w:t>
            </w:r>
          </w:p>
        </w:tc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99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 xml:space="preserve">  以上价款为含税价。</w:t>
            </w:r>
            <w:r>
              <w:rPr>
                <w:rFonts w:hint="eastAsia" w:ascii="仿宋_GB2312" w:hAnsi="仿宋" w:eastAsia="仿宋_GB2312"/>
                <w:sz w:val="28"/>
              </w:rPr>
              <w:t xml:space="preserve"> </w:t>
            </w:r>
          </w:p>
        </w:tc>
      </w:tr>
    </w:tbl>
    <w:p>
      <w:pPr>
        <w:pStyle w:val="2"/>
      </w:pPr>
    </w:p>
    <w:p>
      <w:pPr>
        <w:pStyle w:val="2"/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</w:p>
    <w:p/>
    <w:p>
      <w:pPr>
        <w:pStyle w:val="2"/>
      </w:pPr>
    </w:p>
    <w:p/>
    <w:p>
      <w:pPr>
        <w:pStyle w:val="2"/>
      </w:pPr>
    </w:p>
    <w:p>
      <w:pPr>
        <w:widowControl/>
        <w:textAlignment w:val="center"/>
        <w:rPr>
          <w:rFonts w:ascii="华文中宋" w:hAnsi="华文中宋" w:eastAsia="华文中宋" w:cs="华文中宋"/>
          <w:b/>
          <w:bCs/>
          <w:kern w:val="0"/>
          <w:sz w:val="32"/>
          <w:szCs w:val="32"/>
          <w:lang w:bidi="ar"/>
        </w:rPr>
      </w:pP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附件二：</w:t>
      </w:r>
    </w:p>
    <w:p>
      <w:pPr>
        <w:ind w:right="640"/>
        <w:rPr>
          <w:rFonts w:ascii="宋体" w:hAnsi="宋体" w:cs="宋体"/>
          <w:b/>
          <w:bCs/>
          <w:sz w:val="28"/>
          <w:szCs w:val="28"/>
        </w:rPr>
      </w:pPr>
    </w:p>
    <w:p>
      <w:pPr>
        <w:ind w:right="640"/>
        <w:jc w:val="center"/>
        <w:rPr>
          <w:rFonts w:ascii="华文中宋" w:hAnsi="华文中宋" w:eastAsia="华文中宋" w:cs="华文中宋"/>
          <w:b/>
          <w:bCs/>
          <w:kern w:val="0"/>
          <w:sz w:val="32"/>
          <w:szCs w:val="32"/>
          <w:lang w:bidi="ar"/>
        </w:rPr>
      </w:pP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 xml:space="preserve">  </w:t>
      </w:r>
      <w:r>
        <w:rPr>
          <w:rFonts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2022</w:t>
      </w: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-2023</w:t>
      </w:r>
      <w:r>
        <w:rPr>
          <w:rFonts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年度</w:t>
      </w: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电力</w:t>
      </w:r>
      <w:r>
        <w:rPr>
          <w:rFonts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工程</w:t>
      </w: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配套土建劳务</w:t>
      </w:r>
      <w:r>
        <w:rPr>
          <w:rFonts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分包</w:t>
      </w: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协议单价</w:t>
      </w:r>
    </w:p>
    <w:p>
      <w:pPr>
        <w:pStyle w:val="2"/>
      </w:pPr>
    </w:p>
    <w:p>
      <w:pPr>
        <w:ind w:right="640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1：用工类</w:t>
      </w:r>
    </w:p>
    <w:p>
      <w:pPr>
        <w:spacing w:line="400" w:lineRule="exact"/>
        <w:jc w:val="right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 含税单价：元</w:t>
      </w:r>
    </w:p>
    <w:tbl>
      <w:tblPr>
        <w:tblStyle w:val="4"/>
        <w:tblW w:w="89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3137"/>
        <w:gridCol w:w="1438"/>
        <w:gridCol w:w="1609"/>
        <w:gridCol w:w="1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69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序号</w:t>
            </w:r>
          </w:p>
        </w:tc>
        <w:tc>
          <w:tcPr>
            <w:tcW w:w="3137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项目</w:t>
            </w:r>
          </w:p>
        </w:tc>
        <w:tc>
          <w:tcPr>
            <w:tcW w:w="1438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单位</w:t>
            </w:r>
          </w:p>
        </w:tc>
        <w:tc>
          <w:tcPr>
            <w:tcW w:w="1609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金额</w:t>
            </w:r>
          </w:p>
        </w:tc>
        <w:tc>
          <w:tcPr>
            <w:tcW w:w="1789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临时用工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工日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200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劳务用工（技术工）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工日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350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钢筋工、电焊工等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2：挖机类</w:t>
      </w:r>
    </w:p>
    <w:p>
      <w:pPr>
        <w:spacing w:line="400" w:lineRule="exact"/>
        <w:jc w:val="right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 含税单价：元</w:t>
      </w:r>
    </w:p>
    <w:tbl>
      <w:tblPr>
        <w:tblStyle w:val="4"/>
        <w:tblW w:w="89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3137"/>
        <w:gridCol w:w="1438"/>
        <w:gridCol w:w="1609"/>
        <w:gridCol w:w="1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69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序号</w:t>
            </w:r>
          </w:p>
        </w:tc>
        <w:tc>
          <w:tcPr>
            <w:tcW w:w="3137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项目</w:t>
            </w:r>
          </w:p>
        </w:tc>
        <w:tc>
          <w:tcPr>
            <w:tcW w:w="1438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单位</w:t>
            </w:r>
          </w:p>
        </w:tc>
        <w:tc>
          <w:tcPr>
            <w:tcW w:w="1609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金额</w:t>
            </w:r>
          </w:p>
        </w:tc>
        <w:tc>
          <w:tcPr>
            <w:tcW w:w="1789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80型号挖机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小时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150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220型号挖机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小时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230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80型号捣机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小时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200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220型号捣机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小时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250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小型挖掘机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小时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150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3：土建类</w:t>
      </w:r>
    </w:p>
    <w:tbl>
      <w:tblPr>
        <w:tblStyle w:val="3"/>
        <w:tblpPr w:leftFromText="180" w:rightFromText="180" w:vertAnchor="text" w:horzAnchor="page" w:tblpX="803" w:tblpY="342"/>
        <w:tblOverlap w:val="never"/>
        <w:tblW w:w="0" w:type="auto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716"/>
        <w:gridCol w:w="1230"/>
        <w:gridCol w:w="5550"/>
        <w:gridCol w:w="645"/>
        <w:gridCol w:w="555"/>
        <w:gridCol w:w="1370"/>
      </w:tblGrid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78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序号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项目名称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规格（宽×深）或（长×宽×深）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单位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数量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单价：元</w:t>
            </w:r>
          </w:p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（含税）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电缆明沟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500×500 无角铁包边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米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340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500×500 ∠60×6角铁单包边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米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600×650 无角铁包边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米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370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600×600 ∠60×6角铁单包边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米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580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800×850 无角铁包边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米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550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800×850 ∠50×5角铁双包边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米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760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1200×900 ∠75×50×5角铁单包边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米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1000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电缆井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700×700×600 无角铁包边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700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1000×1000×900 角铁双包边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1600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1200×1200×1100 角铁双包边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2000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1500×1500×1100 角铁双包边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2500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2000×2000×1300  角铁双包边，含梁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4000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2500×2500×1300  角铁双包边，含梁、盖板15cm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5000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3000×3000×1300  角铁双包边，含梁、盖板15cm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5500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985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高压分线箱基础</w:t>
            </w:r>
          </w:p>
        </w:tc>
        <w:tc>
          <w:tcPr>
            <w:tcW w:w="5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附井，角铁包边(为肘头式、落地式断路器基础)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参照电缆井单价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低压分线箱基础</w:t>
            </w:r>
          </w:p>
        </w:tc>
        <w:tc>
          <w:tcPr>
            <w:tcW w:w="5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附井，角铁包边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参照电缆井单价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15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浆砌块石</w:t>
            </w:r>
          </w:p>
        </w:tc>
        <w:tc>
          <w:tcPr>
            <w:tcW w:w="55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护墩、挡土墙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480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15" w:hRule="atLeast"/>
        </w:trPr>
        <w:tc>
          <w:tcPr>
            <w:tcW w:w="7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6</w:t>
            </w: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素混基础</w:t>
            </w:r>
          </w:p>
        </w:tc>
        <w:tc>
          <w:tcPr>
            <w:tcW w:w="55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基础垫层、护壁、护墩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15" w:hRule="atLeast"/>
        </w:trPr>
        <w:tc>
          <w:tcPr>
            <w:tcW w:w="716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变压器操作平台、杯口、素混基础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850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15" w:hRule="atLeast"/>
        </w:trPr>
        <w:tc>
          <w:tcPr>
            <w:tcW w:w="7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电缆沟垫层、包封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40" w:hRule="atLeast"/>
        </w:trPr>
        <w:tc>
          <w:tcPr>
            <w:tcW w:w="7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7</w:t>
            </w: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钢混基础</w:t>
            </w:r>
          </w:p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1.钢管塔钢混基础（含基础土方开挖、钢筋购买运输及制作、混凝土搅拌及制作、地脚螺栓的运输加工及安装、现场安全防护措施、基础周期内养护、接地装置的埋设、混凝土二次运输）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基价：1280</w:t>
            </w:r>
          </w:p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（15km以内执行基价；15km以上每km增加1元/m3)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四角塔钢混基础（含基础土方开挖、钢筋购买运输及制作、混凝土搅拌及制作、地脚螺栓的运输加工及安装、现场安全防护措施、基础周期内养护、接地装置的埋设、余土外运）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autoSpaceDN w:val="0"/>
              <w:spacing w:line="400" w:lineRule="exac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基价：1300</w:t>
            </w:r>
          </w:p>
          <w:p>
            <w:pPr>
              <w:autoSpaceDN w:val="0"/>
              <w:spacing w:line="400" w:lineRule="exac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（15km以内执行基价；15km以上每km增加1元/m3)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余土外运（城区）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75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余土外运（郊区、乡镇）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石方调整（坚石：用风镐方法开挖）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石方调整（坚石：用空压机方法开挖）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石方调整（坚石：用人工开挖）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1.21 混凝土二次人力运输（50～200米）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115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1.22 混凝土二次人力运输（200～500米）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170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1.23 混凝土二次人力运输（500～1000米）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350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35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1.24 混凝土二次人力运输（1000米以上）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35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1.25 混凝土二次骡马运输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市场价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35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1.31 开挖施工便道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项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按降方执行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35" w:hRule="atLeast"/>
        </w:trPr>
        <w:tc>
          <w:tcPr>
            <w:tcW w:w="7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</w:t>
            </w: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保护帽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钢管塔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35" w:hRule="atLeast"/>
        </w:trPr>
        <w:tc>
          <w:tcPr>
            <w:tcW w:w="7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四角塔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0" w:hRule="atLeast"/>
        </w:trPr>
        <w:tc>
          <w:tcPr>
            <w:tcW w:w="71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9</w:t>
            </w: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降方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人工降土方（普通土、松砂石、泥水坑、坚土）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25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50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人工降石方（次坚石、普坚石）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10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挖机、捣机降土方、石方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台班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市场价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25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挖机、捣机平板费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趟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市场价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40" w:hRule="atLeast"/>
        </w:trPr>
        <w:tc>
          <w:tcPr>
            <w:tcW w:w="71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10</w:t>
            </w: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普杆杆洞(无底卡盘/有底卡盘)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土方（普通土、松砂石、泥水坑、坚土）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120/180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40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石方（次坚石、普坚石）、流沙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140/210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11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欧变基础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4000×2200，无台阶式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16000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12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户内油变基础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1000×1000×1200 设备基座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2480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1200×1200×1200 设备基座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3000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1500×1500×1200 设备基座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3300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13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水泥路面破除及恢复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水泥路面破除（300mm及以内）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水泥路面恢复（300mm及以内）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150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水泥路面恢复（300mm以上）按素混计算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850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14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开闭所</w:t>
            </w:r>
          </w:p>
        </w:tc>
        <w:tc>
          <w:tcPr>
            <w:tcW w:w="5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二进四出开闭所4200*3500(砖砌)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6500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15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开闭所</w:t>
            </w:r>
          </w:p>
        </w:tc>
        <w:tc>
          <w:tcPr>
            <w:tcW w:w="5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二进六出开闭所6600*3500(砖砌)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8000</w:t>
            </w:r>
          </w:p>
        </w:tc>
      </w:tr>
    </w:tbl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p>
      <w:pPr>
        <w:ind w:right="640"/>
        <w:rPr>
          <w:rFonts w:ascii="宋体" w:hAnsi="宋体" w:cs="宋体"/>
          <w:color w:val="000000"/>
          <w:sz w:val="24"/>
        </w:rPr>
      </w:pPr>
    </w:p>
    <w:tbl>
      <w:tblPr>
        <w:tblStyle w:val="3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8"/>
        <w:gridCol w:w="2865"/>
        <w:gridCol w:w="1725"/>
        <w:gridCol w:w="900"/>
        <w:gridCol w:w="1418"/>
        <w:gridCol w:w="847"/>
        <w:gridCol w:w="11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8440" w:type="dxa"/>
            <w:gridSpan w:val="7"/>
            <w:vAlign w:val="center"/>
          </w:tcPr>
          <w:p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</w:rPr>
              <w:t>4：含挖、填电缆沟土方及保护管敷设类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名称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规  格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单位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含税单价:元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备 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8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碳素管敷设(管径φ200以内，含挖填电缆沟土方)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1-2根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3-4根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5-7根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8-10根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2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11-12根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28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13-15根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钢管敷设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单长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接地敷设（接地沟挖填、母线敷设、打桩，不含焊接）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预埋标志桩、标志砖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>
      <w:pPr>
        <w:tabs>
          <w:tab w:val="left" w:pos="676"/>
        </w:tabs>
        <w:jc w:val="left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5：封堵(含材料费)类</w:t>
      </w:r>
    </w:p>
    <w:tbl>
      <w:tblPr>
        <w:tblStyle w:val="3"/>
        <w:tblpPr w:leftFromText="180" w:rightFromText="180" w:vertAnchor="text" w:horzAnchor="page" w:tblpX="1917" w:tblpY="193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8"/>
        <w:gridCol w:w="1990"/>
        <w:gridCol w:w="2190"/>
        <w:gridCol w:w="1034"/>
        <w:gridCol w:w="2536"/>
      </w:tblGrid>
      <w:tr>
        <w:trPr>
          <w:trHeight w:val="394" w:hRule="atLeast"/>
        </w:trPr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序号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名称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型号</w:t>
            </w: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数量</w:t>
            </w:r>
          </w:p>
        </w:tc>
        <w:tc>
          <w:tcPr>
            <w:tcW w:w="2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含税单价：元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</w:t>
            </w:r>
          </w:p>
        </w:tc>
        <w:tc>
          <w:tcPr>
            <w:tcW w:w="199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电缆沟防火墙</w:t>
            </w: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200*400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800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500*400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1000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3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500*600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1800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4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600*600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2200</w:t>
            </w:r>
          </w:p>
        </w:tc>
      </w:tr>
      <w:tr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5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600*700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2100</w:t>
            </w:r>
          </w:p>
        </w:tc>
      </w:tr>
      <w:tr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6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700*700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2200</w:t>
            </w:r>
          </w:p>
        </w:tc>
      </w:tr>
      <w:tr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7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800*600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2300</w:t>
            </w:r>
          </w:p>
        </w:tc>
      </w:tr>
      <w:tr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8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800*700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2400</w:t>
            </w:r>
          </w:p>
        </w:tc>
      </w:tr>
      <w:tr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9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800*800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2500</w:t>
            </w:r>
          </w:p>
        </w:tc>
      </w:tr>
      <w:tr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10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1000*600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2500</w:t>
            </w:r>
          </w:p>
        </w:tc>
      </w:tr>
      <w:tr>
        <w:trPr>
          <w:trHeight w:val="409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11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1000*700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2600</w:t>
            </w:r>
          </w:p>
        </w:tc>
      </w:tr>
      <w:tr>
        <w:trPr>
          <w:trHeight w:val="409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12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1000*800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2800</w:t>
            </w:r>
          </w:p>
        </w:tc>
      </w:tr>
      <w:tr>
        <w:trPr>
          <w:trHeight w:val="409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13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1000*900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2900</w:t>
            </w:r>
          </w:p>
        </w:tc>
      </w:tr>
      <w:tr>
        <w:trPr>
          <w:trHeight w:val="409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14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1000*1000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3000</w:t>
            </w:r>
          </w:p>
        </w:tc>
      </w:tr>
      <w:tr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15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1300*1200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3500</w:t>
            </w:r>
          </w:p>
        </w:tc>
      </w:tr>
      <w:tr>
        <w:trPr>
          <w:trHeight w:val="394" w:hRule="atLeast"/>
        </w:trPr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16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端子箱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只</w:t>
            </w:r>
          </w:p>
        </w:tc>
        <w:tc>
          <w:tcPr>
            <w:tcW w:w="2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120</w:t>
            </w:r>
          </w:p>
        </w:tc>
      </w:tr>
      <w:tr>
        <w:trPr>
          <w:trHeight w:val="394" w:hRule="atLeast"/>
        </w:trPr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17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保护屏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台</w:t>
            </w:r>
          </w:p>
        </w:tc>
        <w:tc>
          <w:tcPr>
            <w:tcW w:w="2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120</w:t>
            </w:r>
          </w:p>
        </w:tc>
      </w:tr>
      <w:tr>
        <w:trPr>
          <w:trHeight w:val="394" w:hRule="atLeast"/>
        </w:trPr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18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开关柜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台</w:t>
            </w:r>
          </w:p>
        </w:tc>
        <w:tc>
          <w:tcPr>
            <w:tcW w:w="2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120</w:t>
            </w:r>
          </w:p>
        </w:tc>
      </w:tr>
      <w:tr>
        <w:trPr>
          <w:trHeight w:val="394" w:hRule="atLeast"/>
        </w:trPr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19</w:t>
            </w:r>
          </w:p>
        </w:tc>
        <w:tc>
          <w:tcPr>
            <w:tcW w:w="19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管口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直径Φ150以内</w:t>
            </w: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处</w:t>
            </w:r>
          </w:p>
        </w:tc>
        <w:tc>
          <w:tcPr>
            <w:tcW w:w="2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30</w:t>
            </w:r>
          </w:p>
        </w:tc>
      </w:tr>
      <w:tr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20</w:t>
            </w:r>
          </w:p>
        </w:tc>
        <w:tc>
          <w:tcPr>
            <w:tcW w:w="1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直径Φ150及以上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处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60</w:t>
            </w:r>
          </w:p>
        </w:tc>
      </w:tr>
      <w:tr>
        <w:trPr>
          <w:trHeight w:val="394" w:hRule="atLeast"/>
        </w:trPr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21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封堵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（配电房、高低压柜、变电站等）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间隔</w:t>
            </w:r>
          </w:p>
        </w:tc>
        <w:tc>
          <w:tcPr>
            <w:tcW w:w="2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2400</w:t>
            </w:r>
          </w:p>
        </w:tc>
      </w:tr>
      <w:tr>
        <w:trPr>
          <w:trHeight w:val="394" w:hRule="atLeast"/>
        </w:trPr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22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防凝露、防闪络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（配电房、高低压柜、变电站等）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平方</w:t>
            </w:r>
          </w:p>
        </w:tc>
        <w:tc>
          <w:tcPr>
            <w:tcW w:w="2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3600</w:t>
            </w:r>
          </w:p>
        </w:tc>
      </w:tr>
    </w:tbl>
    <w:p>
      <w:pPr>
        <w:tabs>
          <w:tab w:val="left" w:pos="676"/>
        </w:tabs>
        <w:jc w:val="left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pStyle w:val="2"/>
        <w:rPr>
          <w:lang w:val="en-US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ind w:right="64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6：围栏及桥架</w:t>
      </w:r>
    </w:p>
    <w:p>
      <w:pPr>
        <w:spacing w:line="400" w:lineRule="exact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含税单价：元</w:t>
      </w:r>
    </w:p>
    <w:tbl>
      <w:tblPr>
        <w:tblStyle w:val="4"/>
        <w:tblW w:w="89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3137"/>
        <w:gridCol w:w="1438"/>
        <w:gridCol w:w="1609"/>
        <w:gridCol w:w="1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69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3137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</w:t>
            </w:r>
          </w:p>
        </w:tc>
        <w:tc>
          <w:tcPr>
            <w:tcW w:w="1438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</w:t>
            </w:r>
          </w:p>
        </w:tc>
        <w:tc>
          <w:tcPr>
            <w:tcW w:w="1609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金额</w:t>
            </w:r>
          </w:p>
        </w:tc>
        <w:tc>
          <w:tcPr>
            <w:tcW w:w="1789" w:type="dxa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不锈钢围栏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M2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120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箱变围栏带挑板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M2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180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PVC围栏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M2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140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100*100桥架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米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200*100桥架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米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116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300*100桥架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米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155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400*200桥架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米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248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600*200桥架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米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360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挡鼠板（不锈钢材质）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M2</w:t>
            </w: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450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</w:t>
            </w:r>
          </w:p>
        </w:tc>
        <w:tc>
          <w:tcPr>
            <w:tcW w:w="31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门窗及大门制作</w:t>
            </w:r>
          </w:p>
        </w:tc>
        <w:tc>
          <w:tcPr>
            <w:tcW w:w="143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参照市场价</w:t>
            </w:r>
          </w:p>
        </w:tc>
        <w:tc>
          <w:tcPr>
            <w:tcW w:w="1789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</w:tbl>
    <w:p>
      <w:pPr>
        <w:ind w:right="640"/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pStyle w:val="2"/>
        <w:rPr>
          <w:rFonts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pStyle w:val="2"/>
        <w:rPr>
          <w:rFonts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pStyle w:val="2"/>
        <w:rPr>
          <w:rFonts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pStyle w:val="2"/>
        <w:rPr>
          <w:rFonts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widowControl/>
        <w:textAlignment w:val="center"/>
        <w:rPr>
          <w:rFonts w:ascii="华文中宋" w:hAnsi="华文中宋" w:eastAsia="华文中宋" w:cs="华文中宋"/>
          <w:b/>
          <w:bCs/>
          <w:kern w:val="0"/>
          <w:sz w:val="32"/>
          <w:szCs w:val="32"/>
          <w:lang w:bidi="ar"/>
        </w:rPr>
      </w:pP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附件三：</w:t>
      </w:r>
    </w:p>
    <w:p>
      <w:pPr>
        <w:pStyle w:val="2"/>
        <w:rPr>
          <w:rFonts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ind w:right="640"/>
        <w:jc w:val="center"/>
        <w:rPr>
          <w:rFonts w:ascii="华文中宋" w:hAnsi="华文中宋" w:eastAsia="华文中宋" w:cs="华文中宋"/>
          <w:b/>
          <w:bCs/>
          <w:kern w:val="0"/>
          <w:sz w:val="32"/>
          <w:szCs w:val="32"/>
          <w:lang w:bidi="ar"/>
        </w:rPr>
      </w:pP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2022-2023年度顶管施工协议单价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3000"/>
        <w:gridCol w:w="2910"/>
        <w:gridCol w:w="22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6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管径（mm）</w:t>
            </w:r>
          </w:p>
        </w:tc>
        <w:tc>
          <w:tcPr>
            <w:tcW w:w="300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单次穿越长度或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单处多组管总长度（m）</w:t>
            </w:r>
          </w:p>
        </w:tc>
        <w:tc>
          <w:tcPr>
            <w:tcW w:w="291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地质情况</w:t>
            </w:r>
          </w:p>
        </w:tc>
        <w:tc>
          <w:tcPr>
            <w:tcW w:w="223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含税单价：元/m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06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φ160</w:t>
            </w:r>
          </w:p>
        </w:tc>
        <w:tc>
          <w:tcPr>
            <w:tcW w:w="300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&lt;100</w:t>
            </w:r>
          </w:p>
        </w:tc>
        <w:tc>
          <w:tcPr>
            <w:tcW w:w="291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土层、土石混合、砂砾石等</w:t>
            </w:r>
          </w:p>
        </w:tc>
        <w:tc>
          <w:tcPr>
            <w:tcW w:w="223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06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0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91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岩石</w:t>
            </w:r>
          </w:p>
        </w:tc>
        <w:tc>
          <w:tcPr>
            <w:tcW w:w="223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06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0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&gt;100</w:t>
            </w:r>
          </w:p>
        </w:tc>
        <w:tc>
          <w:tcPr>
            <w:tcW w:w="291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土层、土石混合、砂砾石等</w:t>
            </w:r>
          </w:p>
        </w:tc>
        <w:tc>
          <w:tcPr>
            <w:tcW w:w="223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06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0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91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岩石</w:t>
            </w:r>
          </w:p>
        </w:tc>
        <w:tc>
          <w:tcPr>
            <w:tcW w:w="223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06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φ200</w:t>
            </w:r>
          </w:p>
        </w:tc>
        <w:tc>
          <w:tcPr>
            <w:tcW w:w="300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&lt;100</w:t>
            </w:r>
          </w:p>
        </w:tc>
        <w:tc>
          <w:tcPr>
            <w:tcW w:w="291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土层、土石混合、砂砾石等</w:t>
            </w:r>
          </w:p>
        </w:tc>
        <w:tc>
          <w:tcPr>
            <w:tcW w:w="223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06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0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91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岩石</w:t>
            </w:r>
          </w:p>
        </w:tc>
        <w:tc>
          <w:tcPr>
            <w:tcW w:w="223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06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0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&gt;100</w:t>
            </w:r>
          </w:p>
        </w:tc>
        <w:tc>
          <w:tcPr>
            <w:tcW w:w="291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土层、土石混合、砂砾石等</w:t>
            </w:r>
          </w:p>
        </w:tc>
        <w:tc>
          <w:tcPr>
            <w:tcW w:w="223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6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0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91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岩石</w:t>
            </w:r>
          </w:p>
        </w:tc>
        <w:tc>
          <w:tcPr>
            <w:tcW w:w="223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06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Φ90</w:t>
            </w:r>
          </w:p>
        </w:tc>
        <w:tc>
          <w:tcPr>
            <w:tcW w:w="300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&lt;100</w:t>
            </w:r>
          </w:p>
        </w:tc>
        <w:tc>
          <w:tcPr>
            <w:tcW w:w="291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土层、土石混合、砂砾石等</w:t>
            </w:r>
          </w:p>
        </w:tc>
        <w:tc>
          <w:tcPr>
            <w:tcW w:w="223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6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0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91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岩石</w:t>
            </w:r>
          </w:p>
        </w:tc>
        <w:tc>
          <w:tcPr>
            <w:tcW w:w="223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06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0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&gt;100</w:t>
            </w:r>
          </w:p>
        </w:tc>
        <w:tc>
          <w:tcPr>
            <w:tcW w:w="291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土层、土石混合、砂砾石等</w:t>
            </w:r>
          </w:p>
        </w:tc>
        <w:tc>
          <w:tcPr>
            <w:tcW w:w="223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06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0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91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岩石</w:t>
            </w:r>
          </w:p>
        </w:tc>
        <w:tc>
          <w:tcPr>
            <w:tcW w:w="223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200</w:t>
            </w:r>
          </w:p>
        </w:tc>
      </w:tr>
    </w:tbl>
    <w:p>
      <w:pPr>
        <w:tabs>
          <w:tab w:val="left" w:pos="676"/>
        </w:tabs>
        <w:spacing w:line="400" w:lineRule="exact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注：同一施工地点多回路管道施工作业，第2-3根管道按照列表中金额*90%系数计算，第4-5根管道按照列表中金额*85%系数计算，第6-7根管道按照列表中金额*80%系数计算，8根及以上管道按照列表中金额*75%系数计算。</w:t>
      </w:r>
    </w:p>
    <w:p>
      <w:pPr>
        <w:tabs>
          <w:tab w:val="left" w:pos="676"/>
        </w:tabs>
        <w:spacing w:line="400" w:lineRule="exact"/>
        <w:ind w:firstLine="480" w:firstLineChars="200"/>
        <w:jc w:val="left"/>
        <w:rPr>
          <w:rFonts w:ascii="宋体" w:hAnsi="宋体" w:cs="宋体"/>
          <w:sz w:val="24"/>
        </w:rPr>
      </w:pPr>
    </w:p>
    <w:p>
      <w:pPr>
        <w:tabs>
          <w:tab w:val="left" w:pos="676"/>
        </w:tabs>
        <w:spacing w:line="400" w:lineRule="exact"/>
        <w:ind w:firstLine="480" w:firstLineChars="200"/>
        <w:jc w:val="left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</w:t>
      </w:r>
    </w:p>
    <w:p>
      <w:pPr>
        <w:tabs>
          <w:tab w:val="left" w:pos="838"/>
        </w:tabs>
        <w:spacing w:line="15" w:lineRule="auto"/>
        <w:jc w:val="left"/>
        <w:rPr>
          <w:rFonts w:ascii="宋体" w:hAnsi="宋体" w:cs="宋体"/>
          <w:sz w:val="24"/>
        </w:rPr>
      </w:pPr>
    </w:p>
    <w:p>
      <w:pPr>
        <w:jc w:val="right"/>
        <w:rPr>
          <w:rFonts w:ascii="宋体" w:hAnsi="宋体" w:cs="宋体"/>
          <w:sz w:val="24"/>
        </w:rPr>
      </w:pPr>
    </w:p>
    <w:p>
      <w:pPr>
        <w:rPr>
          <w:rFonts w:ascii="宋体" w:hAnsi="宋体" w:cs="宋体"/>
          <w:sz w:val="24"/>
        </w:rPr>
      </w:pPr>
    </w:p>
    <w:p>
      <w:pPr>
        <w:ind w:right="640"/>
        <w:rPr>
          <w:rFonts w:ascii="宋体" w:hAnsi="宋体" w:cs="宋体"/>
          <w:b/>
          <w:bCs/>
          <w:sz w:val="28"/>
          <w:szCs w:val="28"/>
        </w:rPr>
      </w:pPr>
    </w:p>
    <w:p>
      <w:pPr>
        <w:pStyle w:val="2"/>
        <w:rPr>
          <w:lang w:val="en-US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>
      <w:pPr>
        <w:rPr>
          <w:rFonts w:ascii="宋体" w:hAnsi="宋体" w:cs="宋体"/>
          <w:b/>
          <w:color w:val="000000"/>
          <w:kern w:val="0"/>
          <w:sz w:val="24"/>
          <w:lang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mMzY0OTM0NjdlMmM5Y2ZlMGE0OGFlMmQ2OTMyOGIifQ=="/>
  </w:docVars>
  <w:rsids>
    <w:rsidRoot w:val="00694B6B"/>
    <w:rsid w:val="00694B6B"/>
    <w:rsid w:val="00BB22C1"/>
    <w:rsid w:val="00DA7107"/>
    <w:rsid w:val="056A39BA"/>
    <w:rsid w:val="0E1D0979"/>
    <w:rsid w:val="4F0B08C1"/>
    <w:rsid w:val="4FA35A90"/>
    <w:rsid w:val="50553B8A"/>
    <w:rsid w:val="541C3FF8"/>
    <w:rsid w:val="7A5A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spacing w:line="379" w:lineRule="exact"/>
      <w:ind w:left="2767"/>
      <w:outlineLvl w:val="1"/>
    </w:pPr>
    <w:rPr>
      <w:rFonts w:ascii="仿宋" w:hAnsi="仿宋" w:eastAsia="仿宋" w:cs="仿宋"/>
      <w:b/>
      <w:bCs/>
      <w:sz w:val="30"/>
      <w:szCs w:val="30"/>
      <w:lang w:val="zh-CN" w:bidi="zh-CN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2223</Words>
  <Characters>2993</Characters>
  <Lines>28</Lines>
  <Paragraphs>8</Paragraphs>
  <TotalTime>9</TotalTime>
  <ScaleCrop>false</ScaleCrop>
  <LinksUpToDate>false</LinksUpToDate>
  <CharactersWithSpaces>3034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2022-12-01T06:59:00Z</dcterms:created>
  <dc:creator>Administrator</dc:creator>
  <cp:lastModifiedBy>♥wenwen</cp:lastModifiedBy>
  <dcterms:modified xsi:type="dcterms:W3CDTF">2022-12-14T01:38:29Z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12241A1F7291468282882DAF1F3A16F1</vt:lpwstr>
  </property>
</Properties>
</file>